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BE41A7" Type="http://schemas.openxmlformats.org/officeDocument/2006/relationships/officeDocument" Target="/word/document.xml" /><Relationship Id="coreR71BE41A7" Type="http://schemas.openxmlformats.org/package/2006/relationships/metadata/core-properties" Target="/docProps/core.xml" /><Relationship Id="customR71BE41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tbl>
      <w:tblPr>
        <w:bidiVisual w:val="0"/>
        <w:tblLayout w:type="fixed"/>
        <w:tblCellMar>
          <w:left w:w="0" w:type="dxa"/>
          <w:right w:w="0" w:type="dxa"/>
        </w:tblCellMar>
      </w:tblPr>
      <w:tblGrid>
        <w:gridCol w:w="1500"/>
        <w:gridCol w:w="1065"/>
        <w:gridCol w:w="5865"/>
        <w:gridCol w:w="2175"/>
        <w:gridCol w:w="2175"/>
        <w:gridCol w:w="30"/>
        <w:gridCol w:w="2130"/>
        <w:gridCol w:w="930"/>
      </w:tblGrid>
      <w:tr>
        <w:trPr>
          <w:trHeight w:hRule="atLeast" w:val="255"/>
        </w:trPr>
        <w:tc>
          <w:tcPr>
            <w:tcW w:w="15870" w:type="dxa"/>
            <w:gridSpan w:val="8"/>
            <w:shd w:val="clear" w:color="auto" w:fill="auto"/>
            <w:vAlign w:val="top"/>
          </w:tcPr>
          <w:p>
            <w:pPr>
              <w:pStyle w:val="P1"/>
              <w:rPr>
                <w:rStyle w:val="C4"/>
                <w:rtl w:val="0"/>
              </w:rPr>
            </w:pPr>
            <w:r>
              <w:rPr>
                <w:rStyle w:val="C4"/>
                <w:rtl w:val="0"/>
              </w:rPr>
              <w:t>REBALANS</w:t>
            </w:r>
          </w:p>
        </w:tc>
      </w:tr>
      <w:tr>
        <w:trPr>
          <w:trHeight w:hRule="atLeast" w:val="255"/>
        </w:trPr>
        <w:tc>
          <w:tcPr>
            <w:tcW w:w="15870" w:type="dxa"/>
            <w:gridSpan w:val="8"/>
            <w:shd w:val="clear" w:color="auto" w:fill="auto"/>
            <w:vAlign w:val="top"/>
          </w:tcPr>
          <w:p>
            <w:pPr>
              <w:pStyle w:val="P2"/>
              <w:rPr>
                <w:rStyle w:val="C5"/>
                <w:rtl w:val="0"/>
              </w:rPr>
            </w:pPr>
            <w:r>
              <w:rPr>
                <w:rStyle w:val="C5"/>
                <w:rtl w:val="0"/>
              </w:rPr>
              <w:t>za razdoblje od 1.1.2025 do 31.12.2025</w:t>
            </w:r>
          </w:p>
        </w:tc>
      </w:tr>
      <w:tr>
        <w:trPr>
          <w:trHeight w:hRule="atLeast" w:val="390"/>
        </w:trPr>
        <w:tc>
          <w:tcPr>
            <w:tcW w:w="2565" w:type="dxa"/>
            <w:gridSpan w:val="2"/>
            <w:tcBorders>
              <w:top w:val="single" w:sz="12" w:space="0" w:shadow="0" w:frame="0" w:color="000000"/>
              <w:bottom w:val="single" w:sz="12" w:space="0" w:shadow="0" w:frame="0" w:color="000000"/>
            </w:tcBorders>
            <w:shd w:val="clear" w:color="auto" w:fill="auto"/>
            <w:vAlign w:val="top"/>
          </w:tcPr>
          <w:p>
            <w:pPr>
              <w:pStyle w:val="P3"/>
              <w:rPr>
                <w:rStyle w:val="C6"/>
                <w:rtl w:val="0"/>
              </w:rPr>
            </w:pPr>
          </w:p>
        </w:tc>
        <w:tc>
          <w:tcPr>
            <w:tcW w:w="5865" w:type="dxa"/>
            <w:tcBorders>
              <w:top w:val="single" w:sz="12" w:space="0" w:shadow="0" w:frame="0" w:color="000000"/>
              <w:bottom w:val="single" w:sz="12" w:space="0" w:shadow="0" w:frame="0" w:color="000000"/>
            </w:tcBorders>
            <w:shd w:val="clear" w:color="auto" w:fill="auto"/>
            <w:vAlign w:val="top"/>
          </w:tcPr>
          <w:p>
            <w:pPr>
              <w:pStyle w:val="P3"/>
              <w:rPr>
                <w:rStyle w:val="C6"/>
                <w:rtl w:val="0"/>
              </w:rPr>
            </w:pPr>
            <w:r>
              <w:rPr>
                <w:rStyle w:val="C6"/>
                <w:rtl w:val="0"/>
              </w:rPr>
              <w:t>SVEUKUPNO</w:t>
            </w:r>
          </w:p>
        </w:tc>
        <w:tc>
          <w:tcPr>
            <w:tcW w:w="2175" w:type="dxa"/>
            <w:tcBorders>
              <w:top w:val="single" w:sz="12" w:space="0" w:shadow="0" w:frame="0" w:color="000000"/>
              <w:bottom w:val="single" w:sz="12" w:space="0" w:shadow="0" w:frame="0" w:color="000000"/>
            </w:tcBorders>
            <w:shd w:val="clear" w:color="auto" w:fill="auto"/>
            <w:vAlign w:val="top"/>
          </w:tcPr>
          <w:p>
            <w:pPr>
              <w:pStyle w:val="P4"/>
              <w:rPr>
                <w:rStyle w:val="C7"/>
                <w:rtl w:val="0"/>
              </w:rPr>
            </w:pPr>
            <w:r>
              <w:rPr>
                <w:rStyle w:val="C7"/>
                <w:rtl w:val="0"/>
              </w:rPr>
              <w:t>748.052,00</w:t>
            </w:r>
          </w:p>
        </w:tc>
        <w:tc>
          <w:tcPr>
            <w:tcW w:w="2205" w:type="dxa"/>
            <w:gridSpan w:val="2"/>
            <w:tcBorders>
              <w:top w:val="single" w:sz="12" w:space="0" w:shadow="0" w:frame="0" w:color="000000"/>
              <w:bottom w:val="single" w:sz="12" w:space="0" w:shadow="0" w:frame="0" w:color="000000"/>
            </w:tcBorders>
            <w:shd w:val="clear" w:color="auto" w:fill="auto"/>
            <w:vAlign w:val="top"/>
          </w:tcPr>
          <w:p>
            <w:pPr>
              <w:pStyle w:val="P4"/>
              <w:rPr>
                <w:rStyle w:val="C7"/>
                <w:rtl w:val="0"/>
              </w:rPr>
            </w:pPr>
            <w:r>
              <w:rPr>
                <w:rStyle w:val="C7"/>
                <w:rtl w:val="0"/>
              </w:rPr>
              <w:t>106.499,94</w:t>
            </w:r>
          </w:p>
        </w:tc>
        <w:tc>
          <w:tcPr>
            <w:tcW w:w="2130" w:type="dxa"/>
            <w:tcBorders>
              <w:top w:val="single" w:sz="12" w:space="0" w:shadow="0" w:frame="0" w:color="000000"/>
              <w:bottom w:val="single" w:sz="12" w:space="0" w:shadow="0" w:frame="0" w:color="000000"/>
            </w:tcBorders>
            <w:shd w:val="clear" w:color="auto" w:fill="auto"/>
            <w:vAlign w:val="top"/>
          </w:tcPr>
          <w:p>
            <w:pPr>
              <w:pStyle w:val="P4"/>
              <w:rPr>
                <w:rStyle w:val="C7"/>
                <w:rtl w:val="0"/>
              </w:rPr>
            </w:pPr>
            <w:r>
              <w:rPr>
                <w:rStyle w:val="C7"/>
                <w:rtl w:val="0"/>
              </w:rPr>
              <w:t>854.551,94</w:t>
            </w:r>
          </w:p>
        </w:tc>
        <w:tc>
          <w:tcPr>
            <w:tcW w:w="930" w:type="dxa"/>
            <w:tcBorders>
              <w:top w:val="single" w:sz="12" w:space="0" w:shadow="0" w:frame="0" w:color="000000"/>
              <w:bottom w:val="single" w:sz="12" w:space="0" w:shadow="0" w:frame="0" w:color="000000"/>
            </w:tcBorders>
            <w:shd w:val="clear" w:color="auto" w:fill="auto"/>
            <w:vAlign w:val="top"/>
          </w:tcPr>
          <w:p>
            <w:pPr>
              <w:pStyle w:val="P4"/>
              <w:rPr>
                <w:rStyle w:val="C7"/>
                <w:rtl w:val="0"/>
              </w:rPr>
            </w:pPr>
            <w:r>
              <w:rPr>
                <w:rStyle w:val="C7"/>
                <w:rtl w:val="0"/>
              </w:rPr>
              <w:t>14,24</w:t>
            </w:r>
          </w:p>
        </w:tc>
      </w:tr>
      <w:tr>
        <w:trPr>
          <w:trHeight w:hRule="atLeast" w:val="360"/>
        </w:trPr>
        <w:tc>
          <w:tcPr>
            <w:tcW w:w="2565" w:type="dxa"/>
            <w:gridSpan w:val="2"/>
            <w:tcBorders>
              <w:bottom w:val="single" w:sz="12" w:space="0" w:shadow="0" w:frame="0" w:color="000000"/>
            </w:tcBorders>
            <w:shd w:val="clear" w:color="auto" w:fill="auto"/>
            <w:vAlign w:val="top"/>
          </w:tcPr>
          <w:p>
            <w:pPr>
              <w:pStyle w:val="P5"/>
              <w:rPr>
                <w:rStyle w:val="C8"/>
                <w:rtl w:val="0"/>
              </w:rPr>
            </w:pPr>
            <w:r>
              <w:rPr>
                <w:rStyle w:val="C8"/>
                <w:rtl w:val="0"/>
              </w:rPr>
              <w:t>Šifra</w:t>
            </w:r>
          </w:p>
        </w:tc>
        <w:tc>
          <w:tcPr>
            <w:tcW w:w="5865" w:type="dxa"/>
            <w:tcBorders>
              <w:bottom w:val="single" w:sz="12" w:space="0" w:shadow="0" w:frame="0" w:color="000000"/>
            </w:tcBorders>
            <w:shd w:val="clear" w:color="auto" w:fill="auto"/>
            <w:vAlign w:val="top"/>
          </w:tcPr>
          <w:p>
            <w:pPr>
              <w:pStyle w:val="P5"/>
              <w:rPr>
                <w:rStyle w:val="C8"/>
                <w:rtl w:val="0"/>
              </w:rPr>
            </w:pPr>
            <w:r>
              <w:rPr>
                <w:rStyle w:val="C8"/>
                <w:rtl w:val="0"/>
              </w:rPr>
              <w:t>Naziv</w:t>
            </w:r>
          </w:p>
        </w:tc>
        <w:tc>
          <w:tcPr>
            <w:tcW w:w="2175" w:type="dxa"/>
            <w:tcBorders>
              <w:bottom w:val="single" w:sz="12" w:space="0" w:shadow="0" w:frame="0" w:color="000000"/>
            </w:tcBorders>
            <w:shd w:val="clear" w:color="auto" w:fill="auto"/>
            <w:vAlign w:val="top"/>
          </w:tcPr>
          <w:p>
            <w:pPr>
              <w:pStyle w:val="P6"/>
              <w:rPr>
                <w:rStyle w:val="C9"/>
                <w:rtl w:val="0"/>
              </w:rPr>
            </w:pPr>
            <w:r>
              <w:rPr>
                <w:rStyle w:val="C9"/>
                <w:rtl w:val="0"/>
              </w:rPr>
              <w:t>Planirano</w:t>
            </w:r>
          </w:p>
        </w:tc>
        <w:tc>
          <w:tcPr>
            <w:tcW w:w="2205" w:type="dxa"/>
            <w:gridSpan w:val="2"/>
            <w:tcBorders>
              <w:bottom w:val="single" w:sz="12" w:space="0" w:shadow="0" w:frame="0" w:color="000000"/>
            </w:tcBorders>
            <w:shd w:val="clear" w:color="auto" w:fill="auto"/>
            <w:vAlign w:val="top"/>
          </w:tcPr>
          <w:p>
            <w:pPr>
              <w:pStyle w:val="P6"/>
              <w:rPr>
                <w:rStyle w:val="C9"/>
                <w:rtl w:val="0"/>
              </w:rPr>
            </w:pPr>
            <w:r>
              <w:rPr>
                <w:rStyle w:val="C9"/>
                <w:rtl w:val="0"/>
              </w:rPr>
              <w:t>Povećanje/smanjenje</w:t>
            </w:r>
          </w:p>
        </w:tc>
        <w:tc>
          <w:tcPr>
            <w:tcW w:w="2130" w:type="dxa"/>
            <w:tcBorders>
              <w:bottom w:val="single" w:sz="12" w:space="0" w:shadow="0" w:frame="0" w:color="000000"/>
            </w:tcBorders>
            <w:shd w:val="clear" w:color="auto" w:fill="auto"/>
            <w:vAlign w:val="top"/>
          </w:tcPr>
          <w:p>
            <w:pPr>
              <w:pStyle w:val="P6"/>
              <w:rPr>
                <w:rStyle w:val="C9"/>
                <w:rtl w:val="0"/>
              </w:rPr>
            </w:pPr>
            <w:r>
              <w:rPr>
                <w:rStyle w:val="C9"/>
                <w:rtl w:val="0"/>
              </w:rPr>
              <w:t>Novi plan</w:t>
            </w:r>
          </w:p>
        </w:tc>
        <w:tc>
          <w:tcPr>
            <w:tcW w:w="930" w:type="dxa"/>
            <w:tcBorders>
              <w:bottom w:val="single" w:sz="12" w:space="0" w:shadow="0" w:frame="0" w:color="000000"/>
            </w:tcBorders>
            <w:shd w:val="clear" w:color="auto" w:fill="auto"/>
            <w:vAlign w:val="top"/>
          </w:tcPr>
          <w:p>
            <w:pPr>
              <w:pStyle w:val="P6"/>
              <w:rPr>
                <w:rStyle w:val="C9"/>
                <w:rtl w:val="0"/>
              </w:rPr>
            </w:pPr>
            <w:r>
              <w:rPr>
                <w:rStyle w:val="C9"/>
                <w:rtl w:val="0"/>
              </w:rPr>
              <w:t>Index</w:t>
            </w:r>
          </w:p>
        </w:tc>
      </w:tr>
      <w:tr>
        <w:trPr>
          <w:trHeight w:hRule="atLeast" w:val="675"/>
        </w:trPr>
        <w:tc>
          <w:tcPr>
            <w:tcW w:w="1500" w:type="dxa"/>
            <w:shd w:val="clear" w:color="auto" w:fill="283593"/>
            <w:vAlign w:val="top"/>
          </w:tcPr>
          <w:p>
            <w:pPr>
              <w:pStyle w:val="P7"/>
              <w:rPr>
                <w:rStyle w:val="C10"/>
                <w:rtl w:val="0"/>
              </w:rPr>
            </w:pPr>
            <w:r>
              <w:rPr>
                <w:rStyle w:val="C10"/>
                <w:rtl w:val="0"/>
              </w:rPr>
              <w:t>RAZDJEL</w:t>
            </w:r>
          </w:p>
        </w:tc>
        <w:tc>
          <w:tcPr>
            <w:tcW w:w="1065" w:type="dxa"/>
            <w:shd w:val="clear" w:color="auto" w:fill="283593"/>
            <w:vAlign w:val="top"/>
          </w:tcPr>
          <w:p>
            <w:pPr>
              <w:pStyle w:val="P7"/>
              <w:rPr>
                <w:rStyle w:val="C10"/>
                <w:rtl w:val="0"/>
              </w:rPr>
            </w:pPr>
            <w:r>
              <w:rPr>
                <w:rStyle w:val="C10"/>
                <w:rtl w:val="0"/>
              </w:rPr>
              <w:t>007</w:t>
            </w:r>
          </w:p>
        </w:tc>
        <w:tc>
          <w:tcPr>
            <w:tcW w:w="5865" w:type="dxa"/>
            <w:shd w:val="clear" w:color="auto" w:fill="283593"/>
            <w:vAlign w:val="top"/>
          </w:tcPr>
          <w:p>
            <w:pPr>
              <w:pStyle w:val="P7"/>
              <w:rPr>
                <w:rStyle w:val="C10"/>
                <w:rtl w:val="0"/>
              </w:rPr>
            </w:pPr>
            <w:r>
              <w:rPr>
                <w:rStyle w:val="C10"/>
                <w:rtl w:val="0"/>
              </w:rPr>
              <w:t>UPRAVNI ODJEL ZA OBRAZOVANJE, ZDRAVSTVO, SOCIJALNU SKRB I HRVATSKE BRANITELJE</w:t>
            </w:r>
          </w:p>
        </w:tc>
        <w:tc>
          <w:tcPr>
            <w:tcW w:w="2175" w:type="dxa"/>
            <w:shd w:val="clear" w:color="auto" w:fill="283593"/>
            <w:vAlign w:val="top"/>
          </w:tcPr>
          <w:p>
            <w:pPr>
              <w:pStyle w:val="P8"/>
              <w:rPr>
                <w:rStyle w:val="C11"/>
                <w:rtl w:val="0"/>
              </w:rPr>
            </w:pPr>
            <w:r>
              <w:rPr>
                <w:rStyle w:val="C11"/>
                <w:rtl w:val="0"/>
              </w:rPr>
              <w:t>748.052,00</w:t>
            </w:r>
          </w:p>
        </w:tc>
        <w:tc>
          <w:tcPr>
            <w:tcW w:w="2205" w:type="dxa"/>
            <w:gridSpan w:val="2"/>
            <w:shd w:val="clear" w:color="auto" w:fill="283593"/>
            <w:vAlign w:val="top"/>
          </w:tcPr>
          <w:p>
            <w:pPr>
              <w:pStyle w:val="P8"/>
              <w:rPr>
                <w:rStyle w:val="C11"/>
                <w:rtl w:val="0"/>
              </w:rPr>
            </w:pPr>
            <w:r>
              <w:rPr>
                <w:rStyle w:val="C11"/>
                <w:rtl w:val="0"/>
              </w:rPr>
              <w:t>106.499,94</w:t>
            </w:r>
          </w:p>
        </w:tc>
        <w:tc>
          <w:tcPr>
            <w:tcW w:w="2130" w:type="dxa"/>
            <w:shd w:val="clear" w:color="auto" w:fill="283593"/>
            <w:vAlign w:val="top"/>
          </w:tcPr>
          <w:p>
            <w:pPr>
              <w:pStyle w:val="P8"/>
              <w:rPr>
                <w:rStyle w:val="C11"/>
                <w:rtl w:val="0"/>
              </w:rPr>
            </w:pPr>
            <w:r>
              <w:rPr>
                <w:rStyle w:val="C11"/>
                <w:rtl w:val="0"/>
              </w:rPr>
              <w:t>854.551,94</w:t>
            </w:r>
          </w:p>
        </w:tc>
        <w:tc>
          <w:tcPr>
            <w:tcW w:w="930" w:type="dxa"/>
            <w:shd w:val="clear" w:color="auto" w:fill="283593"/>
            <w:vAlign w:val="top"/>
          </w:tcPr>
          <w:p>
            <w:pPr>
              <w:pStyle w:val="P8"/>
              <w:rPr>
                <w:rStyle w:val="C11"/>
                <w:rtl w:val="0"/>
              </w:rPr>
            </w:pPr>
            <w:r>
              <w:rPr>
                <w:rStyle w:val="C11"/>
                <w:rtl w:val="0"/>
              </w:rPr>
              <w:t>14,24</w:t>
            </w:r>
          </w:p>
        </w:tc>
      </w:tr>
      <w:tr>
        <w:trPr>
          <w:trHeight w:hRule="atLeast" w:val="330"/>
        </w:trPr>
        <w:tc>
          <w:tcPr>
            <w:tcW w:w="1500" w:type="dxa"/>
            <w:shd w:val="clear" w:color="auto" w:fill="1976D2"/>
            <w:vAlign w:val="top"/>
          </w:tcPr>
          <w:p>
            <w:pPr>
              <w:pStyle w:val="P9"/>
              <w:rPr>
                <w:rStyle w:val="C12"/>
                <w:rtl w:val="0"/>
              </w:rPr>
            </w:pPr>
            <w:r>
              <w:rPr>
                <w:rStyle w:val="C12"/>
                <w:rtl w:val="0"/>
              </w:rPr>
              <w:t>GLAVA</w:t>
            </w:r>
          </w:p>
        </w:tc>
        <w:tc>
          <w:tcPr>
            <w:tcW w:w="1065" w:type="dxa"/>
            <w:shd w:val="clear" w:color="auto" w:fill="1976D2"/>
            <w:vAlign w:val="top"/>
          </w:tcPr>
          <w:p>
            <w:pPr>
              <w:pStyle w:val="P9"/>
              <w:rPr>
                <w:rStyle w:val="C12"/>
                <w:rtl w:val="0"/>
              </w:rPr>
            </w:pPr>
            <w:r>
              <w:rPr>
                <w:rStyle w:val="C12"/>
                <w:rtl w:val="0"/>
              </w:rPr>
              <w:t>00701</w:t>
            </w:r>
          </w:p>
        </w:tc>
        <w:tc>
          <w:tcPr>
            <w:tcW w:w="5865" w:type="dxa"/>
            <w:shd w:val="clear" w:color="auto" w:fill="1976D2"/>
            <w:vAlign w:val="top"/>
          </w:tcPr>
          <w:p>
            <w:pPr>
              <w:pStyle w:val="P9"/>
              <w:rPr>
                <w:rStyle w:val="C12"/>
                <w:rtl w:val="0"/>
              </w:rPr>
            </w:pPr>
            <w:r>
              <w:rPr>
                <w:rStyle w:val="C12"/>
                <w:rtl w:val="0"/>
              </w:rPr>
              <w:t>OSNOVNO ŠKOLSTVO</w:t>
            </w:r>
          </w:p>
        </w:tc>
        <w:tc>
          <w:tcPr>
            <w:tcW w:w="2175" w:type="dxa"/>
            <w:shd w:val="clear" w:color="auto" w:fill="1976D2"/>
            <w:vAlign w:val="top"/>
          </w:tcPr>
          <w:p>
            <w:pPr>
              <w:pStyle w:val="P10"/>
              <w:rPr>
                <w:rStyle w:val="C13"/>
                <w:rtl w:val="0"/>
              </w:rPr>
            </w:pPr>
            <w:r>
              <w:rPr>
                <w:rStyle w:val="C13"/>
                <w:rtl w:val="0"/>
              </w:rPr>
              <w:t>744.426,00</w:t>
            </w:r>
          </w:p>
        </w:tc>
        <w:tc>
          <w:tcPr>
            <w:tcW w:w="2205" w:type="dxa"/>
            <w:gridSpan w:val="2"/>
            <w:shd w:val="clear" w:color="auto" w:fill="1976D2"/>
            <w:vAlign w:val="top"/>
          </w:tcPr>
          <w:p>
            <w:pPr>
              <w:pStyle w:val="P10"/>
              <w:rPr>
                <w:rStyle w:val="C13"/>
                <w:rtl w:val="0"/>
              </w:rPr>
            </w:pPr>
            <w:r>
              <w:rPr>
                <w:rStyle w:val="C13"/>
                <w:rtl w:val="0"/>
              </w:rPr>
              <w:t>102.745,31</w:t>
            </w:r>
          </w:p>
        </w:tc>
        <w:tc>
          <w:tcPr>
            <w:tcW w:w="2130" w:type="dxa"/>
            <w:shd w:val="clear" w:color="auto" w:fill="1976D2"/>
            <w:vAlign w:val="top"/>
          </w:tcPr>
          <w:p>
            <w:pPr>
              <w:pStyle w:val="P10"/>
              <w:rPr>
                <w:rStyle w:val="C13"/>
                <w:rtl w:val="0"/>
              </w:rPr>
            </w:pPr>
            <w:r>
              <w:rPr>
                <w:rStyle w:val="C13"/>
                <w:rtl w:val="0"/>
              </w:rPr>
              <w:t>847.171,31</w:t>
            </w:r>
          </w:p>
        </w:tc>
        <w:tc>
          <w:tcPr>
            <w:tcW w:w="930" w:type="dxa"/>
            <w:shd w:val="clear" w:color="auto" w:fill="1976D2"/>
            <w:vAlign w:val="top"/>
          </w:tcPr>
          <w:p>
            <w:pPr>
              <w:pStyle w:val="P10"/>
              <w:rPr>
                <w:rStyle w:val="C13"/>
                <w:rtl w:val="0"/>
              </w:rPr>
            </w:pPr>
            <w:r>
              <w:rPr>
                <w:rStyle w:val="C13"/>
                <w:rtl w:val="0"/>
              </w:rPr>
              <w:t>13,80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01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OPĆI PRIHODI I PRIMICI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50.209,00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9.375,00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59.584,00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13,80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11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PRIHODI OD POREZA ZA REDOVNU DJELATNOST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2.435,00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9.375,00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11.810,00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13,80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12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 xml:space="preserve"> DECENTRALIZIRANA SREDSTVA-OSNOVNO ŠKOLSTVO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47.774,00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0,00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47.774,00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13,80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03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VLASTITI PRIHODI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6.042,00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- 3.941,98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2.100,02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13,80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31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VLASTITI PRIHODI - PRORAČUNSKI KORISNICI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6.042,00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- 3.941,98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2.100,02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13,80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04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PRIHODI ZA POSEBNE NAMJENE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6.438,00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- 2.817,70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3.620,30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13,80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45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 xml:space="preserve">OSTALI NESPOMENUTI PRIHODI -  PRORAČUNSKI KORISNICI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6.438,00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- 2.817,70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3.620,30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13,80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05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POMOĆI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677.704,00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101.457,94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779.161,94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13,80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53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POMOĆI OD OSTALIH SUBJEKATA UNUTAR OPĆE DRŽAVE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635.645,00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109.019,50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744.664,50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13,80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55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POMOĆI - PRORAČUNSKI KORISNICI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42.059,00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- 7.561,56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34.497,44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13,80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06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DONACIJE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4.033,00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- 1.327,95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2.705,05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13,80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63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DONACIJE-PK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4.033,00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- 1.327,95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2.705,05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13,80</w:t>
            </w:r>
          </w:p>
        </w:tc>
      </w:tr>
      <w:tr>
        <w:trPr>
          <w:trHeight w:hRule="atLeast" w:val="330"/>
        </w:trPr>
        <w:tc>
          <w:tcPr>
            <w:tcW w:w="1500" w:type="dxa"/>
            <w:shd w:val="clear" w:color="auto" w:fill="42A5F5"/>
            <w:vAlign w:val="top"/>
          </w:tcPr>
          <w:p>
            <w:pPr>
              <w:pStyle w:val="P15"/>
              <w:rPr>
                <w:rStyle w:val="C18"/>
                <w:rtl w:val="0"/>
              </w:rPr>
            </w:pPr>
            <w:r>
              <w:rPr>
                <w:rStyle w:val="C18"/>
                <w:rtl w:val="0"/>
              </w:rPr>
              <w:t>PROGRAM</w:t>
            </w:r>
          </w:p>
        </w:tc>
        <w:tc>
          <w:tcPr>
            <w:tcW w:w="1065" w:type="dxa"/>
            <w:shd w:val="clear" w:color="auto" w:fill="42A5F5"/>
            <w:vAlign w:val="top"/>
          </w:tcPr>
          <w:p>
            <w:pPr>
              <w:pStyle w:val="P15"/>
              <w:rPr>
                <w:rStyle w:val="C18"/>
                <w:rtl w:val="0"/>
              </w:rPr>
            </w:pPr>
            <w:r>
              <w:rPr>
                <w:rStyle w:val="C18"/>
                <w:rtl w:val="0"/>
              </w:rPr>
              <w:t>7001</w:t>
            </w:r>
          </w:p>
        </w:tc>
        <w:tc>
          <w:tcPr>
            <w:tcW w:w="5865" w:type="dxa"/>
            <w:shd w:val="clear" w:color="auto" w:fill="42A5F5"/>
            <w:vAlign w:val="top"/>
          </w:tcPr>
          <w:p>
            <w:pPr>
              <w:pStyle w:val="P15"/>
              <w:rPr>
                <w:rStyle w:val="C18"/>
                <w:rtl w:val="0"/>
              </w:rPr>
            </w:pPr>
            <w:r>
              <w:rPr>
                <w:rStyle w:val="C18"/>
                <w:rtl w:val="0"/>
              </w:rPr>
              <w:t>REDOVNI PROGRAM OSNOVNOG ŠKOLSTVA</w:t>
            </w:r>
          </w:p>
        </w:tc>
        <w:tc>
          <w:tcPr>
            <w:tcW w:w="2175" w:type="dxa"/>
            <w:shd w:val="clear" w:color="auto" w:fill="42A5F5"/>
            <w:vAlign w:val="top"/>
          </w:tcPr>
          <w:p>
            <w:pPr>
              <w:pStyle w:val="P16"/>
              <w:rPr>
                <w:rStyle w:val="C19"/>
                <w:rtl w:val="0"/>
              </w:rPr>
            </w:pPr>
            <w:r>
              <w:rPr>
                <w:rStyle w:val="C19"/>
                <w:rtl w:val="0"/>
              </w:rPr>
              <w:t>744.426,00</w:t>
            </w:r>
          </w:p>
        </w:tc>
        <w:tc>
          <w:tcPr>
            <w:tcW w:w="2205" w:type="dxa"/>
            <w:gridSpan w:val="2"/>
            <w:shd w:val="clear" w:color="auto" w:fill="42A5F5"/>
            <w:vAlign w:val="top"/>
          </w:tcPr>
          <w:p>
            <w:pPr>
              <w:pStyle w:val="P16"/>
              <w:rPr>
                <w:rStyle w:val="C19"/>
                <w:rtl w:val="0"/>
              </w:rPr>
            </w:pPr>
            <w:r>
              <w:rPr>
                <w:rStyle w:val="C19"/>
                <w:rtl w:val="0"/>
              </w:rPr>
              <w:t>102.745,31</w:t>
            </w:r>
          </w:p>
        </w:tc>
        <w:tc>
          <w:tcPr>
            <w:tcW w:w="2130" w:type="dxa"/>
            <w:shd w:val="clear" w:color="auto" w:fill="42A5F5"/>
            <w:vAlign w:val="top"/>
          </w:tcPr>
          <w:p>
            <w:pPr>
              <w:pStyle w:val="P16"/>
              <w:rPr>
                <w:rStyle w:val="C19"/>
                <w:rtl w:val="0"/>
              </w:rPr>
            </w:pPr>
            <w:r>
              <w:rPr>
                <w:rStyle w:val="C19"/>
                <w:rtl w:val="0"/>
              </w:rPr>
              <w:t>847.171,31</w:t>
            </w:r>
          </w:p>
        </w:tc>
        <w:tc>
          <w:tcPr>
            <w:tcW w:w="930" w:type="dxa"/>
            <w:shd w:val="clear" w:color="auto" w:fill="42A5F5"/>
            <w:vAlign w:val="top"/>
          </w:tcPr>
          <w:p>
            <w:pPr>
              <w:pStyle w:val="P16"/>
              <w:rPr>
                <w:rStyle w:val="C19"/>
                <w:rtl w:val="0"/>
              </w:rPr>
            </w:pPr>
            <w:r>
              <w:rPr>
                <w:rStyle w:val="C19"/>
                <w:rtl w:val="0"/>
              </w:rPr>
              <w:t>13,80</w:t>
            </w:r>
          </w:p>
        </w:tc>
      </w:tr>
      <w:tr>
        <w:trPr>
          <w:trHeight w:hRule="atLeast" w:val="345"/>
        </w:trPr>
        <w:tc>
          <w:tcPr>
            <w:tcW w:w="1500" w:type="dxa"/>
            <w:shd w:val="clear" w:color="auto" w:fill="BBDEFB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Aktivnost</w:t>
            </w:r>
          </w:p>
        </w:tc>
        <w:tc>
          <w:tcPr>
            <w:tcW w:w="1065" w:type="dxa"/>
            <w:shd w:val="clear" w:color="auto" w:fill="BBDEFB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A107001</w:t>
            </w:r>
          </w:p>
        </w:tc>
        <w:tc>
          <w:tcPr>
            <w:tcW w:w="5865" w:type="dxa"/>
            <w:shd w:val="clear" w:color="auto" w:fill="BBDEFB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UPRAVLJANJE I ADMINISTRACIJA</w:t>
            </w:r>
          </w:p>
        </w:tc>
        <w:tc>
          <w:tcPr>
            <w:tcW w:w="2175" w:type="dxa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635.645,00</w:t>
            </w:r>
          </w:p>
        </w:tc>
        <w:tc>
          <w:tcPr>
            <w:tcW w:w="2205" w:type="dxa"/>
            <w:gridSpan w:val="2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109.019,50</w:t>
            </w:r>
          </w:p>
        </w:tc>
        <w:tc>
          <w:tcPr>
            <w:tcW w:w="2130" w:type="dxa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744.664,50</w:t>
            </w:r>
          </w:p>
        </w:tc>
        <w:tc>
          <w:tcPr>
            <w:tcW w:w="930" w:type="dxa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17,15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05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POMOĆI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635.645,00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109.019,50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744.664,50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17,15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53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POMOĆI OD OSTALIH SUBJEKATA UNUTAR OPĆE DRŽAVE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635.645,00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109.019,50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744.664,50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17,15</w:t>
            </w:r>
          </w:p>
        </w:tc>
      </w:tr>
      <w:tr>
        <w:trPr>
          <w:trHeight w:hRule="atLeast" w:val="315"/>
        </w:trPr>
        <w:tc>
          <w:tcPr>
            <w:tcW w:w="1500" w:type="dxa"/>
            <w:shd w:val="clear" w:color="auto" w:fill="A5D6A7"/>
            <w:vAlign w:val="top"/>
          </w:tcPr>
          <w:p>
            <w:pPr>
              <w:pStyle w:val="P19"/>
              <w:rPr>
                <w:rStyle w:val="C22"/>
                <w:rtl w:val="0"/>
              </w:rPr>
            </w:pPr>
            <w:r>
              <w:rPr>
                <w:rStyle w:val="C22"/>
                <w:rtl w:val="0"/>
              </w:rPr>
              <w:t>Korisnik</w:t>
            </w:r>
          </w:p>
        </w:tc>
        <w:tc>
          <w:tcPr>
            <w:tcW w:w="1065" w:type="dxa"/>
            <w:shd w:val="clear" w:color="auto" w:fill="A5D6A7"/>
            <w:vAlign w:val="top"/>
          </w:tcPr>
          <w:p>
            <w:pPr>
              <w:pStyle w:val="P20"/>
              <w:rPr>
                <w:rStyle w:val="C23"/>
                <w:rtl w:val="0"/>
              </w:rPr>
            </w:pPr>
          </w:p>
        </w:tc>
        <w:tc>
          <w:tcPr>
            <w:tcW w:w="5865" w:type="dxa"/>
            <w:shd w:val="clear" w:color="auto" w:fill="A5D6A7"/>
            <w:vAlign w:val="top"/>
          </w:tcPr>
          <w:p>
            <w:pPr>
              <w:pStyle w:val="P19"/>
              <w:rPr>
                <w:rStyle w:val="C22"/>
                <w:rtl w:val="0"/>
              </w:rPr>
            </w:pPr>
            <w:r>
              <w:rPr>
                <w:rStyle w:val="C22"/>
                <w:rtl w:val="0"/>
              </w:rPr>
              <w:t>OSNOVNA ŠKOLA IVAN LACKOVIĆ CROATA KALINOVAC</w:t>
            </w:r>
          </w:p>
        </w:tc>
        <w:tc>
          <w:tcPr>
            <w:tcW w:w="2175" w:type="dxa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635.645,00</w:t>
            </w:r>
          </w:p>
        </w:tc>
        <w:tc>
          <w:tcPr>
            <w:tcW w:w="2205" w:type="dxa"/>
            <w:gridSpan w:val="2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109.019,50</w:t>
            </w:r>
          </w:p>
        </w:tc>
        <w:tc>
          <w:tcPr>
            <w:tcW w:w="2130" w:type="dxa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744.664,50</w:t>
            </w:r>
          </w:p>
        </w:tc>
        <w:tc>
          <w:tcPr>
            <w:tcW w:w="930" w:type="dxa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17,15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BEE"/>
            <w:vAlign w:val="top"/>
          </w:tcPr>
          <w:p>
            <w:pPr>
              <w:pStyle w:val="P22"/>
              <w:rPr>
                <w:rStyle w:val="C25"/>
                <w:rtl w:val="0"/>
              </w:rPr>
            </w:pPr>
            <w:r>
              <w:rPr>
                <w:rStyle w:val="C25"/>
                <w:rtl w:val="0"/>
              </w:rPr>
              <w:t>Funkcija</w:t>
            </w:r>
          </w:p>
        </w:tc>
        <w:tc>
          <w:tcPr>
            <w:tcW w:w="1065" w:type="dxa"/>
            <w:shd w:val="clear" w:color="auto" w:fill="FFEBEE"/>
            <w:vAlign w:val="top"/>
          </w:tcPr>
          <w:p>
            <w:pPr>
              <w:pStyle w:val="P22"/>
              <w:rPr>
                <w:rStyle w:val="C25"/>
                <w:rtl w:val="0"/>
              </w:rPr>
            </w:pPr>
            <w:r>
              <w:rPr>
                <w:rStyle w:val="C25"/>
                <w:rtl w:val="0"/>
              </w:rPr>
              <w:t>0912</w:t>
            </w:r>
          </w:p>
        </w:tc>
        <w:tc>
          <w:tcPr>
            <w:tcW w:w="5865" w:type="dxa"/>
            <w:shd w:val="clear" w:color="auto" w:fill="FFEBEE"/>
            <w:vAlign w:val="top"/>
          </w:tcPr>
          <w:p>
            <w:pPr>
              <w:pStyle w:val="P22"/>
              <w:rPr>
                <w:rStyle w:val="C25"/>
                <w:rtl w:val="0"/>
              </w:rPr>
            </w:pPr>
            <w:r>
              <w:rPr>
                <w:rStyle w:val="C25"/>
                <w:rtl w:val="0"/>
              </w:rPr>
              <w:t>Osnovno obrazovanje</w:t>
            </w:r>
          </w:p>
        </w:tc>
        <w:tc>
          <w:tcPr>
            <w:tcW w:w="2175" w:type="dxa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635.645,00</w:t>
            </w:r>
          </w:p>
        </w:tc>
        <w:tc>
          <w:tcPr>
            <w:tcW w:w="2205" w:type="dxa"/>
            <w:gridSpan w:val="2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109.019,50</w:t>
            </w:r>
          </w:p>
        </w:tc>
        <w:tc>
          <w:tcPr>
            <w:tcW w:w="2130" w:type="dxa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744.664,50</w:t>
            </w:r>
          </w:p>
        </w:tc>
        <w:tc>
          <w:tcPr>
            <w:tcW w:w="930" w:type="dxa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17,15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3</w:t>
            </w:r>
          </w:p>
        </w:tc>
        <w:tc>
          <w:tcPr>
            <w:tcW w:w="1065" w:type="dxa"/>
          </w:tcPr>
          <w:p>
            <w:pPr>
              <w:rPr>
                <w:rStyle w:val="C3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Rashodi poslovanja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635.645,00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109.019,50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744.664,50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17,15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31</w:t>
            </w:r>
          </w:p>
        </w:tc>
        <w:tc>
          <w:tcPr>
            <w:tcW w:w="1065" w:type="dxa"/>
          </w:tcPr>
          <w:p>
            <w:pPr>
              <w:rPr>
                <w:rStyle w:val="C3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Rashodi za zaposlene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615.590,00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108.319,50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723.909,50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17,60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311</w:t>
            </w:r>
          </w:p>
        </w:tc>
        <w:tc>
          <w:tcPr>
            <w:tcW w:w="1065" w:type="dxa"/>
          </w:tcPr>
          <w:p>
            <w:pPr>
              <w:rPr>
                <w:rStyle w:val="C3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Plaće (Bruto)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528.260,00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69.259,50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597.519,50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13,11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3111</w:t>
            </w:r>
          </w:p>
        </w:tc>
        <w:tc>
          <w:tcPr>
            <w:tcW w:w="1065" w:type="dxa"/>
          </w:tcPr>
          <w:p>
            <w:pPr>
              <w:rPr>
                <w:rStyle w:val="C3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Plaće za redovan rad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520.240,00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59.859,50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580.099,50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11,51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31111</w:t>
            </w:r>
          </w:p>
        </w:tc>
        <w:tc>
          <w:tcPr>
            <w:tcW w:w="1065" w:type="dxa"/>
          </w:tcPr>
          <w:p>
            <w:pPr>
              <w:rPr>
                <w:rStyle w:val="C3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Plaće za zaposlene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520.240,00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59.859,50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580.099,50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11,51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3113</w:t>
            </w:r>
          </w:p>
        </w:tc>
        <w:tc>
          <w:tcPr>
            <w:tcW w:w="1065" w:type="dxa"/>
          </w:tcPr>
          <w:p>
            <w:pPr>
              <w:rPr>
                <w:rStyle w:val="C3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Plaće za prekovremeni rad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4.820,00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9.400,00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14.220,00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195,02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31131</w:t>
            </w:r>
          </w:p>
        </w:tc>
        <w:tc>
          <w:tcPr>
            <w:tcW w:w="1065" w:type="dxa"/>
          </w:tcPr>
          <w:p>
            <w:pPr>
              <w:rPr>
                <w:rStyle w:val="C3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Plaće za prekovremeni rad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4.820,00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9.400,00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14.220,00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195,02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3114</w:t>
            </w:r>
          </w:p>
        </w:tc>
        <w:tc>
          <w:tcPr>
            <w:tcW w:w="1065" w:type="dxa"/>
          </w:tcPr>
          <w:p>
            <w:pPr>
              <w:rPr>
                <w:rStyle w:val="C3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Plaće za posebne uvjete rada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3.200,00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3.200,00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31141</w:t>
            </w:r>
          </w:p>
        </w:tc>
        <w:tc>
          <w:tcPr>
            <w:tcW w:w="1065" w:type="dxa"/>
          </w:tcPr>
          <w:p>
            <w:pPr>
              <w:rPr>
                <w:rStyle w:val="C3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Plaće za posebne uvjete rada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3.200,00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3.200,00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312</w:t>
            </w:r>
          </w:p>
        </w:tc>
        <w:tc>
          <w:tcPr>
            <w:tcW w:w="1065" w:type="dxa"/>
          </w:tcPr>
          <w:p>
            <w:pPr>
              <w:rPr>
                <w:rStyle w:val="C3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Ostali rashodi za zaposlene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10.270,00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15.660,00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25.930,00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152,48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3121</w:t>
            </w:r>
          </w:p>
        </w:tc>
        <w:tc>
          <w:tcPr>
            <w:tcW w:w="1065" w:type="dxa"/>
          </w:tcPr>
          <w:p>
            <w:pPr>
              <w:rPr>
                <w:rStyle w:val="C3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Ostali rashodi za zaposlene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10.270,00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15.660,00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25.930,00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152,48</w:t>
            </w:r>
          </w:p>
        </w:tc>
      </w:tr>
    </w:tbl>
    <w:p>
      <w:pPr>
        <w:rPr>
          <w:rtl w:val="0"/>
        </w:rPr>
        <w:sectPr>
          <w:headerReference xmlns:r="http://schemas.openxmlformats.org/officeDocument/2006/relationships" w:type="default" r:id="RelHdr1"/>
          <w:footerReference xmlns:r="http://schemas.openxmlformats.org/officeDocument/2006/relationships" w:type="default" r:id="RelFtr1"/>
          <w:type w:val="nextPage"/>
          <w:pgSz w:w="16833" w:h="11908" w:orient="landscape"/>
          <w:pgMar w:left="566" w:right="396" w:top="396" w:bottom="396" w:header="0" w:footer="0" w:gutter="0"/>
          <w:formProt w:val="0"/>
        </w:sectPr>
      </w:pPr>
    </w:p>
    <w:tbl>
      <w:tblPr>
        <w:bidiVisual w:val="0"/>
        <w:tblLayout w:type="fixed"/>
        <w:tblCellMar>
          <w:left w:w="0" w:type="dxa"/>
          <w:right w:w="0" w:type="dxa"/>
        </w:tblCellMar>
      </w:tblPr>
      <w:tblGrid>
        <w:gridCol w:w="1500"/>
        <w:gridCol w:w="1065"/>
        <w:gridCol w:w="5865"/>
        <w:gridCol w:w="2175"/>
        <w:gridCol w:w="2175"/>
        <w:gridCol w:w="30"/>
        <w:gridCol w:w="2130"/>
        <w:gridCol w:w="930"/>
      </w:tblGrid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31212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Nagrade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7.520,00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15.000,00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22.520,00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199,47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31215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Naknade za bolest, invalidnost i smrtni slučaj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2.750,00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660,00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3.410,00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24,00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313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Doprinosi na plaće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77.060,00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23.400,00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100.460,00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30,37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3132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Doprinosi za obvezno zdravstveno osiguranje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77.060,00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23.400,00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100.460,00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30,37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31321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Doprinosi za obvezno zdravstveno osiguranje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77.060,00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23.400,00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100.460,00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30,37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32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Materijalni rashodi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20.055,00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700,00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20.755,00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3,49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Naknade troškova zaposlenima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18.263,00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18.263,00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3212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Naknade za prijevoz, za rad na terenu i odvojeni život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18.263,00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18.263,00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32121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Naknade za prijevoz na posao i s posla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18.263,00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18.263,00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329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Ostali nespomenuti rashodi poslovanja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1.792,00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2.492,00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39,06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3295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Pristojbe i naknade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1.792,00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2.492,00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39,06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32955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Novčana naknada poslodavca zbog nezapošljavanja osoba s invaliditetom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1.792,00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2.492,00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39,06</w:t>
            </w:r>
          </w:p>
        </w:tc>
      </w:tr>
      <w:tr>
        <w:trPr>
          <w:trHeight w:hRule="atLeast" w:val="330"/>
        </w:trPr>
        <w:tc>
          <w:tcPr>
            <w:tcW w:w="1500" w:type="dxa"/>
            <w:shd w:val="clear" w:color="auto" w:fill="BBDEFB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Aktivnost</w:t>
            </w:r>
          </w:p>
        </w:tc>
        <w:tc>
          <w:tcPr>
            <w:tcW w:w="1065" w:type="dxa"/>
            <w:shd w:val="clear" w:color="auto" w:fill="BBDEFB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A107002</w:t>
            </w:r>
          </w:p>
        </w:tc>
        <w:tc>
          <w:tcPr>
            <w:tcW w:w="5865" w:type="dxa"/>
            <w:shd w:val="clear" w:color="auto" w:fill="BBDEFB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REDOVNI RAD OŠ</w:t>
            </w:r>
          </w:p>
        </w:tc>
        <w:tc>
          <w:tcPr>
            <w:tcW w:w="2175" w:type="dxa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73.383,00</w:t>
            </w:r>
          </w:p>
        </w:tc>
        <w:tc>
          <w:tcPr>
            <w:tcW w:w="2205" w:type="dxa"/>
            <w:gridSpan w:val="2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- 7.074,19</w:t>
            </w:r>
          </w:p>
        </w:tc>
        <w:tc>
          <w:tcPr>
            <w:tcW w:w="2130" w:type="dxa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66.308,81</w:t>
            </w:r>
          </w:p>
        </w:tc>
        <w:tc>
          <w:tcPr>
            <w:tcW w:w="930" w:type="dxa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- 9,64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01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OPĆI PRIHODI I PRIMICI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41.209,00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9.375,00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50.584,00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9,64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11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PRIHODI OD POREZA ZA REDOVNU DJELATNOST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2.435,00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9.375,00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11.810,00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9,64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12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 xml:space="preserve"> DECENTRALIZIRANA SREDSTVA-OSNOVNO ŠKOLSTVO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38.774,00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0,00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38.774,00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9,64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03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VLASTITI PRIHODI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6.042,00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- 3.941,98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2.100,02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9,64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31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VLASTITI PRIHODI - PRORAČUNSKI KORISNICI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6.042,00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- 3.941,98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2.100,02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9,64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04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PRIHODI ZA POSEBNE NAMJENE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4.079,00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- 2.817,70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1.261,30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9,64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45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 xml:space="preserve">OSTALI NESPOMENUTI PRIHODI -  PRORAČUNSKI KORISNICI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4.079,00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- 2.817,70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1.261,30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9,64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05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POMOĆI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18.020,00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- 8.361,56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9.658,44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9,64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55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POMOĆI - PRORAČUNSKI KORISNICI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18.020,00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- 8.361,56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9.658,44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9,64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06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DONACIJE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4.033,00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- 1.327,95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2.705,05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9,64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63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DONACIJE-PK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4.033,00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- 1.327,95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2.705,05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9,64</w:t>
            </w:r>
          </w:p>
        </w:tc>
      </w:tr>
      <w:tr>
        <w:trPr>
          <w:trHeight w:hRule="atLeast" w:val="315"/>
        </w:trPr>
        <w:tc>
          <w:tcPr>
            <w:tcW w:w="1500" w:type="dxa"/>
            <w:shd w:val="clear" w:color="auto" w:fill="A5D6A7"/>
            <w:vAlign w:val="top"/>
          </w:tcPr>
          <w:p>
            <w:pPr>
              <w:pStyle w:val="P19"/>
              <w:rPr>
                <w:rStyle w:val="C22"/>
                <w:rtl w:val="0"/>
              </w:rPr>
            </w:pPr>
            <w:r>
              <w:rPr>
                <w:rStyle w:val="C22"/>
                <w:rtl w:val="0"/>
              </w:rPr>
              <w:t>Korisnik</w:t>
            </w:r>
          </w:p>
        </w:tc>
        <w:tc>
          <w:tcPr>
            <w:tcW w:w="1065" w:type="dxa"/>
            <w:shd w:val="clear" w:color="auto" w:fill="A5D6A7"/>
            <w:vAlign w:val="top"/>
          </w:tcPr>
          <w:p>
            <w:pPr>
              <w:pStyle w:val="P20"/>
              <w:rPr>
                <w:rStyle w:val="C23"/>
                <w:rtl w:val="0"/>
              </w:rPr>
            </w:pPr>
          </w:p>
        </w:tc>
        <w:tc>
          <w:tcPr>
            <w:tcW w:w="5865" w:type="dxa"/>
            <w:shd w:val="clear" w:color="auto" w:fill="A5D6A7"/>
            <w:vAlign w:val="top"/>
          </w:tcPr>
          <w:p>
            <w:pPr>
              <w:pStyle w:val="P19"/>
              <w:rPr>
                <w:rStyle w:val="C22"/>
                <w:rtl w:val="0"/>
              </w:rPr>
            </w:pPr>
            <w:r>
              <w:rPr>
                <w:rStyle w:val="C22"/>
                <w:rtl w:val="0"/>
              </w:rPr>
              <w:t>OSNOVNA ŠKOLA IVAN LACKOVIĆ CROATA KALINOVAC</w:t>
            </w:r>
          </w:p>
        </w:tc>
        <w:tc>
          <w:tcPr>
            <w:tcW w:w="2175" w:type="dxa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73.383,00</w:t>
            </w:r>
          </w:p>
        </w:tc>
        <w:tc>
          <w:tcPr>
            <w:tcW w:w="2205" w:type="dxa"/>
            <w:gridSpan w:val="2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- 7.074,19</w:t>
            </w:r>
          </w:p>
        </w:tc>
        <w:tc>
          <w:tcPr>
            <w:tcW w:w="2130" w:type="dxa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66.308,81</w:t>
            </w:r>
          </w:p>
        </w:tc>
        <w:tc>
          <w:tcPr>
            <w:tcW w:w="930" w:type="dxa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- 9,64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BEE"/>
            <w:vAlign w:val="top"/>
          </w:tcPr>
          <w:p>
            <w:pPr>
              <w:pStyle w:val="P22"/>
              <w:rPr>
                <w:rStyle w:val="C25"/>
                <w:rtl w:val="0"/>
              </w:rPr>
            </w:pPr>
            <w:r>
              <w:rPr>
                <w:rStyle w:val="C25"/>
                <w:rtl w:val="0"/>
              </w:rPr>
              <w:t>Funkcija</w:t>
            </w:r>
          </w:p>
        </w:tc>
        <w:tc>
          <w:tcPr>
            <w:tcW w:w="1065" w:type="dxa"/>
            <w:shd w:val="clear" w:color="auto" w:fill="FFEBEE"/>
            <w:vAlign w:val="top"/>
          </w:tcPr>
          <w:p>
            <w:pPr>
              <w:pStyle w:val="P22"/>
              <w:rPr>
                <w:rStyle w:val="C25"/>
                <w:rtl w:val="0"/>
              </w:rPr>
            </w:pPr>
            <w:r>
              <w:rPr>
                <w:rStyle w:val="C25"/>
                <w:rtl w:val="0"/>
              </w:rPr>
              <w:t>0912</w:t>
            </w:r>
          </w:p>
        </w:tc>
        <w:tc>
          <w:tcPr>
            <w:tcW w:w="5865" w:type="dxa"/>
            <w:shd w:val="clear" w:color="auto" w:fill="FFEBEE"/>
            <w:vAlign w:val="top"/>
          </w:tcPr>
          <w:p>
            <w:pPr>
              <w:pStyle w:val="P22"/>
              <w:rPr>
                <w:rStyle w:val="C25"/>
                <w:rtl w:val="0"/>
              </w:rPr>
            </w:pPr>
            <w:r>
              <w:rPr>
                <w:rStyle w:val="C25"/>
                <w:rtl w:val="0"/>
              </w:rPr>
              <w:t>Osnovno obrazovanje</w:t>
            </w:r>
          </w:p>
        </w:tc>
        <w:tc>
          <w:tcPr>
            <w:tcW w:w="2175" w:type="dxa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73.383,00</w:t>
            </w:r>
          </w:p>
        </w:tc>
        <w:tc>
          <w:tcPr>
            <w:tcW w:w="2205" w:type="dxa"/>
            <w:gridSpan w:val="2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- 7.074,19</w:t>
            </w:r>
          </w:p>
        </w:tc>
        <w:tc>
          <w:tcPr>
            <w:tcW w:w="2130" w:type="dxa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66.308,81</w:t>
            </w:r>
          </w:p>
        </w:tc>
        <w:tc>
          <w:tcPr>
            <w:tcW w:w="930" w:type="dxa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- 9,64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Rashodi poslovanja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73.383,00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- 7.074,19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66.308,81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- 9,64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32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Materijalni rashodi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70.162,00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- 9.323,19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60.838,81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- 13,29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Naknade troškova zaposlenima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2.038,00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289,44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2.327,44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14,20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3211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Službena putovanja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1.547,00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1.847,00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19,39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32111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Dnevnice za službeni put u zemlji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605,00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1.205,00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99,17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32113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Naknade za smještaj na službenom putu u zemlji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200,00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200,00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32115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Naknade za prijevoz na službenom putu u zemlji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742,00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- 300,00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442,00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- 40,43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3213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Stručno usavršavanje zaposlenika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251,00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- 10,56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240,44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- 4,21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32131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Seminari, savjetovanja i simpoziji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191,00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- 10,56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180,44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- 5,53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32132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Tečajevi i stručni ispiti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3214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Ostale naknade troškova zaposlenima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240,00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240,00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</w:tbl>
    <w:p>
      <w:pPr>
        <w:rPr>
          <w:rtl w:val="0"/>
        </w:rPr>
        <w:sectPr>
          <w:headerReference xmlns:r="http://schemas.openxmlformats.org/officeDocument/2006/relationships" w:type="default" r:id="RelHdr2"/>
          <w:footerReference xmlns:r="http://schemas.openxmlformats.org/officeDocument/2006/relationships" w:type="default" r:id="RelFtr2"/>
          <w:type w:val="nextPage"/>
          <w:pgSz w:w="16833" w:h="11908" w:orient="landscape"/>
          <w:pgMar w:left="566" w:right="396" w:top="396" w:bottom="396" w:header="0" w:footer="0" w:gutter="0"/>
          <w:formProt w:val="0"/>
        </w:sectPr>
      </w:pPr>
    </w:p>
    <w:tbl>
      <w:tblPr>
        <w:bidiVisual w:val="0"/>
        <w:tblLayout w:type="fixed"/>
        <w:tblCellMar>
          <w:left w:w="0" w:type="dxa"/>
          <w:right w:w="0" w:type="dxa"/>
        </w:tblCellMar>
      </w:tblPr>
      <w:tblGrid>
        <w:gridCol w:w="1500"/>
        <w:gridCol w:w="1065"/>
        <w:gridCol w:w="5865"/>
        <w:gridCol w:w="2175"/>
        <w:gridCol w:w="2205"/>
        <w:gridCol w:w="2130"/>
        <w:gridCol w:w="930"/>
      </w:tblGrid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32141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Naknada za korištenje privatnog automobila u službene svrhe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240,00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240,00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Rashodi za materijal i energiju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36.583,00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1.900,00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38.483,00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5,19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Uredski materijal i ostali materijalni rashodi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4.051,00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- 700,00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3.351,00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- 17,28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32211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Uredski materijal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798,00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- 100,00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698,00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- 12,53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32212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Literatura (publikacije, časopisi, glasila, knjige i ostalo)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516,00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516,00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32214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Materijal i sredstva za čišćenje i održavanje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1.030,00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830,00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- 19,42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32216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Materijal za higijenske potrebe i njegu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750,00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550,00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- 26,67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32219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Ostali materijal za potrebe redovnog poslovanja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957,00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757,00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- 20,90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Energija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27.402,00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5.400,00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32.802,00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19,71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32231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Električna energija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10.667,00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- 600,00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10.067,00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- 5,62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32233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Plin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16.677,00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6.000,00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22.677,00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35,98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32234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Motorni benzin i dizel gorivo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58,00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58,00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3224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Materijal i dijelovi za tekuće i investicijsko održavanje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1.750,00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1.550,00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- 11,43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32241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Materijal i dijelovi za tekuće i investicijsko održavanje građevinskih objekata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1.000,00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1.000,00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32242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Materijal i dijelovi za tekuće i investicijsko održavanje postrojenja i opreme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750,00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550,00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- 26,67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3225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Sitni inventar i autogume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3.268,00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- 2.600,00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668,00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- 79,56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32251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Sitni inventar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3.268,00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- 2.600,00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668,00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- 79,56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3227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Službena, radna i zaštitna odjeća i obuća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112,00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112,00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32271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Službena, radna i zaštitna odjeća i obuća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112,00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112,00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Rashodi za usluge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21.741,00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- 5.863,00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15.878,00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- 26,97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Usluge telefona, interneta, pošte i prijevoza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5.570,00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- 3.400,00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2.170,00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- 61,04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32311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Usluge telefona, telefaksa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2.220,00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- 900,00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1.320,00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- 40,54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32312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Usluge interneta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359,00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359,00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32313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Poštarina (pisma, tiskanice i sl.)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133,00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133,00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32319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Ostale usluge za komunikaciju i prijevoz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2.858,00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- 2.500,00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358,00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- 87,47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Usluge tekućeg i investicijskog održavanja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5.225,00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5.225,00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32321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Usluge tekućeg i investicijskog održavanja građevinskih objekata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2.625,00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2.625,00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32322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Usluge tekućeg i investicijskog održavanja postrojenja i opreme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2.600,00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2.600,00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Usluge promidžbe i informiranja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68,00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68,00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32339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Ostale usluge promidžbe i informiranja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68,00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68,00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3234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Komunalne usluge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2.656,00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- 400,00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2.256,00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- 15,06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32341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Opskrba vodom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1.744,00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- 400,00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1.344,00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- 22,94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32342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Iznošenje i odvoz smeća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584,00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584,00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32343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Deratizacija i dezinsekcija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139,00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139,00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32349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Ostale komunalne usluge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189,00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189,00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3235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Zakupnine i najamnine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2.847,00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- 2.120,00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727,00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- 74,46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32353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Zakupnine i najamnine za opremu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2.847,00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- 2.120,00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727,00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- 74,46</w:t>
            </w:r>
          </w:p>
        </w:tc>
      </w:tr>
    </w:tbl>
    <w:p>
      <w:pPr>
        <w:rPr>
          <w:rtl w:val="0"/>
        </w:rPr>
        <w:sectPr>
          <w:headerReference xmlns:r="http://schemas.openxmlformats.org/officeDocument/2006/relationships" w:type="default" r:id="RelHdr3"/>
          <w:footerReference xmlns:r="http://schemas.openxmlformats.org/officeDocument/2006/relationships" w:type="default" r:id="RelFtr3"/>
          <w:type w:val="nextPage"/>
          <w:pgSz w:w="16833" w:h="11908" w:orient="landscape"/>
          <w:pgMar w:left="566" w:right="396" w:top="396" w:bottom="396" w:header="0" w:footer="0" w:gutter="0"/>
          <w:formProt w:val="0"/>
        </w:sectPr>
      </w:pPr>
    </w:p>
    <w:tbl>
      <w:tblPr>
        <w:bidiVisual w:val="0"/>
        <w:tblLayout w:type="fixed"/>
        <w:tblCellMar>
          <w:left w:w="0" w:type="dxa"/>
          <w:right w:w="0" w:type="dxa"/>
        </w:tblCellMar>
      </w:tblPr>
      <w:tblGrid>
        <w:gridCol w:w="1500"/>
        <w:gridCol w:w="1065"/>
        <w:gridCol w:w="5865"/>
        <w:gridCol w:w="2175"/>
        <w:gridCol w:w="2205"/>
        <w:gridCol w:w="2130"/>
        <w:gridCol w:w="930"/>
      </w:tblGrid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3236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Zdravstvene i veterinarske usluge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2.310,00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- 1.088,00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1.222,00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- 47,10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32361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Obvezni i preventivni zdravstveni pregledi zaposlenika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1.561,00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- 1.088,00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473,00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- 69,70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32363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Laboratorijske usluge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629,00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629,00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32369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Ostale zdravstvene i veterinarske usluge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120,00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120,00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3237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Intelektualne i osobne usluge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365,00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1.375,00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1.740,00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376,71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32372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Ugovori o djelu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100,00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100,00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32379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Ostale intelektualne usluge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265,00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1.375,00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1.640,00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518,87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3238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Računalne usluge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2.156,00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2.156,00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32389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Ostale računalne usluge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2.156,00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2.156,00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3239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Ostale usluge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544,00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- 230,00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314,00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- 42,28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32391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Grafičke i tiskarske usluge, usluge kopiranja i uvezivanja i slično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416,00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- 230,00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186,00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- 55,29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32393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Uređenje prostora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128,00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128,00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329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Ostali nespomenuti rashodi poslovanja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9.800,00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- 5.649,63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4.150,37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- 57,65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3292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Premije osiguranja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465,00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465,00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32922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Premije osiguranja ostale imovine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465,00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465,00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3293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Reprezentacija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356,00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- 217,70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138,30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- 61,15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32931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Reprezentacija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356,00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- 217,70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138,30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- 61,15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3294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Članarine i norme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94,00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114,00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21,28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32941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Tuzemne članarine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94,00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114,00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21,28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3295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Pristojbe i naknade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80,00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32959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Ostale pristojbe i naknade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80,00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3299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Ostali nespomenuti rashodi poslovanja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8.805,00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- 5.451,93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3.353,07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- 61,92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32999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Ostali nespomenuti rashodi poslovanja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8.805,00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- 5.451,93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3.353,07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- 61,92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34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Financijski rashodi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23,00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23,00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343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Ostali financijski rashodi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23,00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23,00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3433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Zatezne kamate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10,00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34333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Zatezne kamate iz poslovnih odnosa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10,00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3434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Ostali nespomenuti financijski rashodi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13,00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13,00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34349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Ostali nespomenuti financijski rashodi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13,00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13,00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37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Naknade građanima i kućanstvima na temelju osiguranja i druge naknade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3.000,00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2.240,00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5.240,00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74,67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372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Ostale naknade građanima i kućanstvima iz proračuna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3.000,00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2.240,00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5.240,00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74,67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3722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Naknade građanima i kućanstvima u naravi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3.000,00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2.240,00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5.240,00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74,67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37229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Ostale naknade iz proračuna u naravi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3.000,00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2.240,00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5.240,00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74,67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38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Rashodi za donacije, kazne, naknade šteta i kapitalne pomoći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198,00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9,00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207,00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4,55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381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Tekuće donacije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198,00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9,00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207,00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4,55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3812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Tekuće donacije u naravi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198,00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9,00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207,00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4,55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38129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Ostale tekuće donacije u naravi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198,00</w:t>
            </w:r>
          </w:p>
        </w:tc>
        <w:tc>
          <w:tcPr>
            <w:tcW w:w="220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9,00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207,00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4,55</w:t>
            </w:r>
          </w:p>
        </w:tc>
      </w:tr>
    </w:tbl>
    <w:p>
      <w:pPr>
        <w:rPr>
          <w:rtl w:val="0"/>
        </w:rPr>
        <w:sectPr>
          <w:headerReference xmlns:r="http://schemas.openxmlformats.org/officeDocument/2006/relationships" w:type="default" r:id="RelHdr4"/>
          <w:footerReference xmlns:r="http://schemas.openxmlformats.org/officeDocument/2006/relationships" w:type="default" r:id="RelFtr4"/>
          <w:type w:val="nextPage"/>
          <w:pgSz w:w="16833" w:h="11908" w:orient="landscape"/>
          <w:pgMar w:left="566" w:right="396" w:top="396" w:bottom="396" w:header="0" w:footer="0" w:gutter="0"/>
          <w:formProt w:val="0"/>
        </w:sectPr>
      </w:pPr>
    </w:p>
    <w:tbl>
      <w:tblPr>
        <w:bidiVisual w:val="0"/>
        <w:tblLayout w:type="fixed"/>
        <w:tblCellMar>
          <w:left w:w="0" w:type="dxa"/>
          <w:right w:w="0" w:type="dxa"/>
        </w:tblCellMar>
      </w:tblPr>
      <w:tblGrid>
        <w:gridCol w:w="1500"/>
        <w:gridCol w:w="1065"/>
        <w:gridCol w:w="5865"/>
        <w:gridCol w:w="2175"/>
        <w:gridCol w:w="2175"/>
        <w:gridCol w:w="30"/>
        <w:gridCol w:w="2130"/>
        <w:gridCol w:w="930"/>
      </w:tblGrid>
      <w:tr>
        <w:trPr>
          <w:trHeight w:hRule="atLeast" w:val="345"/>
        </w:trPr>
        <w:tc>
          <w:tcPr>
            <w:tcW w:w="1500" w:type="dxa"/>
            <w:shd w:val="clear" w:color="auto" w:fill="BBDEFB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Aktivnost</w:t>
            </w:r>
          </w:p>
        </w:tc>
        <w:tc>
          <w:tcPr>
            <w:tcW w:w="1065" w:type="dxa"/>
            <w:shd w:val="clear" w:color="auto" w:fill="BBDEFB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A107004</w:t>
            </w:r>
          </w:p>
        </w:tc>
        <w:tc>
          <w:tcPr>
            <w:tcW w:w="5865" w:type="dxa"/>
            <w:shd w:val="clear" w:color="auto" w:fill="BBDEFB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ŠKOLSKA KUHINJA</w:t>
            </w:r>
          </w:p>
        </w:tc>
        <w:tc>
          <w:tcPr>
            <w:tcW w:w="2175" w:type="dxa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25.110,00</w:t>
            </w:r>
          </w:p>
        </w:tc>
        <w:tc>
          <w:tcPr>
            <w:tcW w:w="2205" w:type="dxa"/>
            <w:gridSpan w:val="2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0,00</w:t>
            </w:r>
          </w:p>
        </w:tc>
        <w:tc>
          <w:tcPr>
            <w:tcW w:w="2130" w:type="dxa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25.110,00</w:t>
            </w:r>
          </w:p>
        </w:tc>
        <w:tc>
          <w:tcPr>
            <w:tcW w:w="930" w:type="dxa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04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PRIHODI ZA POSEBNE NAMJENE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2.359,00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0,00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2.359,00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45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 xml:space="preserve">OSTALI NESPOMENUTI PRIHODI -  PRORAČUNSKI KORISNICI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2.359,00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0,00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2.359,00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05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POMOĆI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22.751,00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0,00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22.751,00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55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POMOĆI - PRORAČUNSKI KORISNICI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22.751,00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0,00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22.751,00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0,00</w:t>
            </w:r>
          </w:p>
        </w:tc>
      </w:tr>
      <w:tr>
        <w:trPr>
          <w:trHeight w:hRule="atLeast" w:val="315"/>
        </w:trPr>
        <w:tc>
          <w:tcPr>
            <w:tcW w:w="1500" w:type="dxa"/>
            <w:shd w:val="clear" w:color="auto" w:fill="A5D6A7"/>
            <w:vAlign w:val="top"/>
          </w:tcPr>
          <w:p>
            <w:pPr>
              <w:pStyle w:val="P19"/>
              <w:rPr>
                <w:rStyle w:val="C22"/>
                <w:rtl w:val="0"/>
              </w:rPr>
            </w:pPr>
            <w:r>
              <w:rPr>
                <w:rStyle w:val="C22"/>
                <w:rtl w:val="0"/>
              </w:rPr>
              <w:t>Korisnik</w:t>
            </w:r>
          </w:p>
        </w:tc>
        <w:tc>
          <w:tcPr>
            <w:tcW w:w="1065" w:type="dxa"/>
            <w:shd w:val="clear" w:color="auto" w:fill="A5D6A7"/>
            <w:vAlign w:val="top"/>
          </w:tcPr>
          <w:p>
            <w:pPr>
              <w:pStyle w:val="P20"/>
              <w:rPr>
                <w:rStyle w:val="C23"/>
                <w:rtl w:val="0"/>
              </w:rPr>
            </w:pPr>
          </w:p>
        </w:tc>
        <w:tc>
          <w:tcPr>
            <w:tcW w:w="5865" w:type="dxa"/>
            <w:shd w:val="clear" w:color="auto" w:fill="A5D6A7"/>
            <w:vAlign w:val="top"/>
          </w:tcPr>
          <w:p>
            <w:pPr>
              <w:pStyle w:val="P19"/>
              <w:rPr>
                <w:rStyle w:val="C22"/>
                <w:rtl w:val="0"/>
              </w:rPr>
            </w:pPr>
            <w:r>
              <w:rPr>
                <w:rStyle w:val="C22"/>
                <w:rtl w:val="0"/>
              </w:rPr>
              <w:t>OSNOVNA ŠKOLA IVAN LACKOVIĆ CROATA KALINOVAC</w:t>
            </w:r>
          </w:p>
        </w:tc>
        <w:tc>
          <w:tcPr>
            <w:tcW w:w="2175" w:type="dxa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25.110,00</w:t>
            </w:r>
          </w:p>
        </w:tc>
        <w:tc>
          <w:tcPr>
            <w:tcW w:w="2205" w:type="dxa"/>
            <w:gridSpan w:val="2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25.110,00</w:t>
            </w:r>
          </w:p>
        </w:tc>
        <w:tc>
          <w:tcPr>
            <w:tcW w:w="930" w:type="dxa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BEE"/>
            <w:vAlign w:val="top"/>
          </w:tcPr>
          <w:p>
            <w:pPr>
              <w:pStyle w:val="P22"/>
              <w:rPr>
                <w:rStyle w:val="C25"/>
                <w:rtl w:val="0"/>
              </w:rPr>
            </w:pPr>
            <w:r>
              <w:rPr>
                <w:rStyle w:val="C25"/>
                <w:rtl w:val="0"/>
              </w:rPr>
              <w:t>Funkcija</w:t>
            </w:r>
          </w:p>
        </w:tc>
        <w:tc>
          <w:tcPr>
            <w:tcW w:w="1065" w:type="dxa"/>
            <w:shd w:val="clear" w:color="auto" w:fill="FFEBEE"/>
            <w:vAlign w:val="top"/>
          </w:tcPr>
          <w:p>
            <w:pPr>
              <w:pStyle w:val="P22"/>
              <w:rPr>
                <w:rStyle w:val="C25"/>
                <w:rtl w:val="0"/>
              </w:rPr>
            </w:pPr>
            <w:r>
              <w:rPr>
                <w:rStyle w:val="C25"/>
                <w:rtl w:val="0"/>
              </w:rPr>
              <w:t>0912</w:t>
            </w:r>
          </w:p>
        </w:tc>
        <w:tc>
          <w:tcPr>
            <w:tcW w:w="5865" w:type="dxa"/>
            <w:shd w:val="clear" w:color="auto" w:fill="FFEBEE"/>
            <w:vAlign w:val="top"/>
          </w:tcPr>
          <w:p>
            <w:pPr>
              <w:pStyle w:val="P22"/>
              <w:rPr>
                <w:rStyle w:val="C25"/>
                <w:rtl w:val="0"/>
              </w:rPr>
            </w:pPr>
            <w:r>
              <w:rPr>
                <w:rStyle w:val="C25"/>
                <w:rtl w:val="0"/>
              </w:rPr>
              <w:t>Osnovno obrazovanje</w:t>
            </w:r>
          </w:p>
        </w:tc>
        <w:tc>
          <w:tcPr>
            <w:tcW w:w="2175" w:type="dxa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25.110,00</w:t>
            </w:r>
          </w:p>
        </w:tc>
        <w:tc>
          <w:tcPr>
            <w:tcW w:w="2205" w:type="dxa"/>
            <w:gridSpan w:val="2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0,00</w:t>
            </w:r>
          </w:p>
        </w:tc>
        <w:tc>
          <w:tcPr>
            <w:tcW w:w="2130" w:type="dxa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25.110,00</w:t>
            </w:r>
          </w:p>
        </w:tc>
        <w:tc>
          <w:tcPr>
            <w:tcW w:w="930" w:type="dxa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Rashodi poslovanja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25.110,00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25.110,00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32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Materijalni rashodi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25.110,00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25.110,00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Rashodi za materijal i energiju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25.110,00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25.110,00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Uredski materijal i ostali materijalni rashodi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363,00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363,00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32219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Ostali materijal za potrebe redovnog poslovanja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363,00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363,00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Materijal i sirovine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24.747,00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24.747,00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32224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Namirnice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24.747,00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24.747,00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615"/>
        </w:trPr>
        <w:tc>
          <w:tcPr>
            <w:tcW w:w="1500" w:type="dxa"/>
            <w:shd w:val="clear" w:color="auto" w:fill="BBDEFB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Kapitalni projekt</w:t>
            </w:r>
          </w:p>
        </w:tc>
        <w:tc>
          <w:tcPr>
            <w:tcW w:w="1065" w:type="dxa"/>
            <w:shd w:val="clear" w:color="auto" w:fill="BBDEFB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K107001</w:t>
            </w:r>
          </w:p>
        </w:tc>
        <w:tc>
          <w:tcPr>
            <w:tcW w:w="5865" w:type="dxa"/>
            <w:shd w:val="clear" w:color="auto" w:fill="BBDEFB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ULAGANJA U NEFINANCIJSKU IMOVINU</w:t>
            </w:r>
          </w:p>
        </w:tc>
        <w:tc>
          <w:tcPr>
            <w:tcW w:w="2175" w:type="dxa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10.288,00</w:t>
            </w:r>
          </w:p>
        </w:tc>
        <w:tc>
          <w:tcPr>
            <w:tcW w:w="2205" w:type="dxa"/>
            <w:gridSpan w:val="2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800,00</w:t>
            </w:r>
          </w:p>
        </w:tc>
        <w:tc>
          <w:tcPr>
            <w:tcW w:w="2130" w:type="dxa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11.088,00</w:t>
            </w:r>
          </w:p>
        </w:tc>
        <w:tc>
          <w:tcPr>
            <w:tcW w:w="930" w:type="dxa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7,78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01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OPĆI PRIHODI I PRIMICI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9.000,00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0,00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9.000,00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7,78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12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 xml:space="preserve"> DECENTRALIZIRANA SREDSTVA-OSNOVNO ŠKOLSTVO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9.000,00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0,00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9.000,00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7,78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05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POMOĆI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1.288,00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800,00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2.088,00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7,78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55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POMOĆI - PRORAČUNSKI KORISNICI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1.288,00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800,00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2.088,00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7,78</w:t>
            </w:r>
          </w:p>
        </w:tc>
      </w:tr>
      <w:tr>
        <w:trPr>
          <w:trHeight w:hRule="atLeast" w:val="330"/>
        </w:trPr>
        <w:tc>
          <w:tcPr>
            <w:tcW w:w="1500" w:type="dxa"/>
            <w:shd w:val="clear" w:color="auto" w:fill="A5D6A7"/>
            <w:vAlign w:val="top"/>
          </w:tcPr>
          <w:p>
            <w:pPr>
              <w:pStyle w:val="P19"/>
              <w:rPr>
                <w:rStyle w:val="C22"/>
                <w:rtl w:val="0"/>
              </w:rPr>
            </w:pPr>
            <w:r>
              <w:rPr>
                <w:rStyle w:val="C22"/>
                <w:rtl w:val="0"/>
              </w:rPr>
              <w:t>Korisnik</w:t>
            </w:r>
          </w:p>
        </w:tc>
        <w:tc>
          <w:tcPr>
            <w:tcW w:w="1065" w:type="dxa"/>
            <w:shd w:val="clear" w:color="auto" w:fill="A5D6A7"/>
            <w:vAlign w:val="top"/>
          </w:tcPr>
          <w:p>
            <w:pPr>
              <w:pStyle w:val="P20"/>
              <w:rPr>
                <w:rStyle w:val="C23"/>
                <w:rtl w:val="0"/>
              </w:rPr>
            </w:pPr>
          </w:p>
        </w:tc>
        <w:tc>
          <w:tcPr>
            <w:tcW w:w="5865" w:type="dxa"/>
            <w:shd w:val="clear" w:color="auto" w:fill="A5D6A7"/>
            <w:vAlign w:val="top"/>
          </w:tcPr>
          <w:p>
            <w:pPr>
              <w:pStyle w:val="P19"/>
              <w:rPr>
                <w:rStyle w:val="C22"/>
                <w:rtl w:val="0"/>
              </w:rPr>
            </w:pPr>
            <w:r>
              <w:rPr>
                <w:rStyle w:val="C22"/>
                <w:rtl w:val="0"/>
              </w:rPr>
              <w:t>OSNOVNA ŠKOLA IVAN LACKOVIĆ CROATA KALINOVAC</w:t>
            </w:r>
          </w:p>
        </w:tc>
        <w:tc>
          <w:tcPr>
            <w:tcW w:w="2175" w:type="dxa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10.288,00</w:t>
            </w:r>
          </w:p>
        </w:tc>
        <w:tc>
          <w:tcPr>
            <w:tcW w:w="2205" w:type="dxa"/>
            <w:gridSpan w:val="2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800,00</w:t>
            </w:r>
          </w:p>
        </w:tc>
        <w:tc>
          <w:tcPr>
            <w:tcW w:w="2130" w:type="dxa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11.088,00</w:t>
            </w:r>
          </w:p>
        </w:tc>
        <w:tc>
          <w:tcPr>
            <w:tcW w:w="930" w:type="dxa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7,78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FFEBEE"/>
            <w:vAlign w:val="top"/>
          </w:tcPr>
          <w:p>
            <w:pPr>
              <w:pStyle w:val="P22"/>
              <w:rPr>
                <w:rStyle w:val="C25"/>
                <w:rtl w:val="0"/>
              </w:rPr>
            </w:pPr>
            <w:r>
              <w:rPr>
                <w:rStyle w:val="C25"/>
                <w:rtl w:val="0"/>
              </w:rPr>
              <w:t>Funkcija</w:t>
            </w:r>
          </w:p>
        </w:tc>
        <w:tc>
          <w:tcPr>
            <w:tcW w:w="1065" w:type="dxa"/>
            <w:shd w:val="clear" w:color="auto" w:fill="FFEBEE"/>
            <w:vAlign w:val="top"/>
          </w:tcPr>
          <w:p>
            <w:pPr>
              <w:pStyle w:val="P22"/>
              <w:rPr>
                <w:rStyle w:val="C25"/>
                <w:rtl w:val="0"/>
              </w:rPr>
            </w:pPr>
            <w:r>
              <w:rPr>
                <w:rStyle w:val="C25"/>
                <w:rtl w:val="0"/>
              </w:rPr>
              <w:t>0912</w:t>
            </w:r>
          </w:p>
        </w:tc>
        <w:tc>
          <w:tcPr>
            <w:tcW w:w="5865" w:type="dxa"/>
            <w:shd w:val="clear" w:color="auto" w:fill="FFEBEE"/>
            <w:vAlign w:val="top"/>
          </w:tcPr>
          <w:p>
            <w:pPr>
              <w:pStyle w:val="P22"/>
              <w:rPr>
                <w:rStyle w:val="C25"/>
                <w:rtl w:val="0"/>
              </w:rPr>
            </w:pPr>
            <w:r>
              <w:rPr>
                <w:rStyle w:val="C25"/>
                <w:rtl w:val="0"/>
              </w:rPr>
              <w:t>Osnovno obrazovanje</w:t>
            </w:r>
          </w:p>
        </w:tc>
        <w:tc>
          <w:tcPr>
            <w:tcW w:w="2175" w:type="dxa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10.288,00</w:t>
            </w:r>
          </w:p>
        </w:tc>
        <w:tc>
          <w:tcPr>
            <w:tcW w:w="2205" w:type="dxa"/>
            <w:gridSpan w:val="2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800,00</w:t>
            </w:r>
          </w:p>
        </w:tc>
        <w:tc>
          <w:tcPr>
            <w:tcW w:w="2130" w:type="dxa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11.088,00</w:t>
            </w:r>
          </w:p>
        </w:tc>
        <w:tc>
          <w:tcPr>
            <w:tcW w:w="930" w:type="dxa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7,78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4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Rashodi za nabavu nefinancijske imovine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10.288,00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800,00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11.088,00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7,78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42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Rashodi za nabavu proizvedene dugotrajne imovine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10.288,00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800,00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11.088,00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7,78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422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Postrojenja i oprema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9.388,00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9.388,00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4221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Uredska oprema i namještaj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1.100,00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1.100,00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42211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Računala i računalna oprema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1.100,00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1.100,00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4227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Uređaji, strojevi i oprema za ostale namjene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8.288,00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8.288,00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42272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Strojevi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1.000,00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1.000,00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42273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Oprema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7.288,00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7.288,00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424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Knjige, umjetnička djela i ostale izložbene vrijednosti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900,00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1.700,00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88,89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4241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Knjige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900,00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1.700,00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88,89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42411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Knjige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900,00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1.700,00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88,89</w:t>
            </w:r>
          </w:p>
        </w:tc>
      </w:tr>
      <w:tr>
        <w:trPr>
          <w:trHeight w:hRule="atLeast" w:val="600"/>
        </w:trPr>
        <w:tc>
          <w:tcPr>
            <w:tcW w:w="1500" w:type="dxa"/>
            <w:shd w:val="clear" w:color="auto" w:fill="1976D2"/>
            <w:vAlign w:val="top"/>
          </w:tcPr>
          <w:p>
            <w:pPr>
              <w:pStyle w:val="P9"/>
              <w:rPr>
                <w:rStyle w:val="C12"/>
                <w:rtl w:val="0"/>
              </w:rPr>
            </w:pPr>
            <w:r>
              <w:rPr>
                <w:rStyle w:val="C12"/>
                <w:rtl w:val="0"/>
              </w:rPr>
              <w:t>GLAVA</w:t>
            </w:r>
          </w:p>
        </w:tc>
        <w:tc>
          <w:tcPr>
            <w:tcW w:w="1065" w:type="dxa"/>
            <w:shd w:val="clear" w:color="auto" w:fill="1976D2"/>
            <w:vAlign w:val="top"/>
          </w:tcPr>
          <w:p>
            <w:pPr>
              <w:pStyle w:val="P9"/>
              <w:rPr>
                <w:rStyle w:val="C12"/>
                <w:rtl w:val="0"/>
              </w:rPr>
            </w:pPr>
            <w:r>
              <w:rPr>
                <w:rStyle w:val="C12"/>
                <w:rtl w:val="0"/>
              </w:rPr>
              <w:t>00708</w:t>
            </w:r>
          </w:p>
        </w:tc>
        <w:tc>
          <w:tcPr>
            <w:tcW w:w="5865" w:type="dxa"/>
            <w:shd w:val="clear" w:color="auto" w:fill="1976D2"/>
            <w:vAlign w:val="top"/>
          </w:tcPr>
          <w:p>
            <w:pPr>
              <w:pStyle w:val="P9"/>
              <w:rPr>
                <w:rStyle w:val="C12"/>
                <w:rtl w:val="0"/>
              </w:rPr>
            </w:pPr>
            <w:r>
              <w:rPr>
                <w:rStyle w:val="C12"/>
                <w:rtl w:val="0"/>
              </w:rPr>
              <w:t>UPRAVNI ODJEL ZA OBRAZOVANJE, ZDRAVSTVO, SOCIJALNU SKRB I HRVATSKE BRANITELJE</w:t>
            </w:r>
          </w:p>
        </w:tc>
        <w:tc>
          <w:tcPr>
            <w:tcW w:w="2175" w:type="dxa"/>
            <w:shd w:val="clear" w:color="auto" w:fill="1976D2"/>
            <w:vAlign w:val="top"/>
          </w:tcPr>
          <w:p>
            <w:pPr>
              <w:pStyle w:val="P10"/>
              <w:rPr>
                <w:rStyle w:val="C13"/>
                <w:rtl w:val="0"/>
              </w:rPr>
            </w:pPr>
            <w:r>
              <w:rPr>
                <w:rStyle w:val="C13"/>
                <w:rtl w:val="0"/>
              </w:rPr>
              <w:t>3.626,00</w:t>
            </w:r>
          </w:p>
        </w:tc>
        <w:tc>
          <w:tcPr>
            <w:tcW w:w="2205" w:type="dxa"/>
            <w:gridSpan w:val="2"/>
            <w:shd w:val="clear" w:color="auto" w:fill="1976D2"/>
            <w:vAlign w:val="top"/>
          </w:tcPr>
          <w:p>
            <w:pPr>
              <w:pStyle w:val="P10"/>
              <w:rPr>
                <w:rStyle w:val="C13"/>
                <w:rtl w:val="0"/>
              </w:rPr>
            </w:pPr>
            <w:r>
              <w:rPr>
                <w:rStyle w:val="C13"/>
                <w:rtl w:val="0"/>
              </w:rPr>
              <w:t>3.754,63</w:t>
            </w:r>
          </w:p>
        </w:tc>
        <w:tc>
          <w:tcPr>
            <w:tcW w:w="2130" w:type="dxa"/>
            <w:shd w:val="clear" w:color="auto" w:fill="1976D2"/>
            <w:vAlign w:val="top"/>
          </w:tcPr>
          <w:p>
            <w:pPr>
              <w:pStyle w:val="P10"/>
              <w:rPr>
                <w:rStyle w:val="C13"/>
                <w:rtl w:val="0"/>
              </w:rPr>
            </w:pPr>
            <w:r>
              <w:rPr>
                <w:rStyle w:val="C13"/>
                <w:rtl w:val="0"/>
              </w:rPr>
              <w:t>7.380,63</w:t>
            </w:r>
          </w:p>
        </w:tc>
        <w:tc>
          <w:tcPr>
            <w:tcW w:w="930" w:type="dxa"/>
            <w:shd w:val="clear" w:color="auto" w:fill="1976D2"/>
            <w:vAlign w:val="top"/>
          </w:tcPr>
          <w:p>
            <w:pPr>
              <w:pStyle w:val="P10"/>
              <w:rPr>
                <w:rStyle w:val="C13"/>
                <w:rtl w:val="0"/>
              </w:rPr>
            </w:pPr>
            <w:r>
              <w:rPr>
                <w:rStyle w:val="C13"/>
                <w:rtl w:val="0"/>
              </w:rPr>
              <w:t>103,55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01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OPĆI PRIHODI I PRIMICI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1.157,00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3.752,00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4.909,00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103,55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11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PRIHODI OD POREZA ZA REDOVNU DJELATNOST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1.157,00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3.752,00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4.909,00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103,55</w:t>
            </w:r>
          </w:p>
        </w:tc>
      </w:tr>
    </w:tbl>
    <w:p>
      <w:pPr>
        <w:rPr>
          <w:rtl w:val="0"/>
        </w:rPr>
        <w:sectPr>
          <w:headerReference xmlns:r="http://schemas.openxmlformats.org/officeDocument/2006/relationships" w:type="default" r:id="RelHdr5"/>
          <w:footerReference xmlns:r="http://schemas.openxmlformats.org/officeDocument/2006/relationships" w:type="default" r:id="RelFtr5"/>
          <w:type w:val="nextPage"/>
          <w:pgSz w:w="16833" w:h="11908" w:orient="landscape"/>
          <w:pgMar w:left="566" w:right="396" w:top="396" w:bottom="396" w:header="0" w:footer="0" w:gutter="0"/>
          <w:formProt w:val="0"/>
        </w:sectPr>
      </w:pPr>
    </w:p>
    <w:tbl>
      <w:tblPr>
        <w:bidiVisual w:val="0"/>
        <w:tblLayout w:type="fixed"/>
        <w:tblCellMar>
          <w:left w:w="0" w:type="dxa"/>
          <w:right w:w="0" w:type="dxa"/>
        </w:tblCellMar>
      </w:tblPr>
      <w:tblGrid>
        <w:gridCol w:w="1500"/>
        <w:gridCol w:w="1065"/>
        <w:gridCol w:w="5865"/>
        <w:gridCol w:w="2175"/>
        <w:gridCol w:w="2175"/>
        <w:gridCol w:w="30"/>
        <w:gridCol w:w="2130"/>
        <w:gridCol w:w="930"/>
      </w:tblGrid>
      <w:tr>
        <w:trPr>
          <w:trHeight w:hRule="atLeast" w:val="300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05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POMOĆI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2.469,00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2,63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2.471,63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103,55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55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POMOĆI - PRORAČUNSKI KORISNICI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234,00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- 180,00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54,00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103,55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56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POMOĆI IZ PRORAČUNA - EU ŽUPANIJA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2.235,00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182,63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2.417,63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103,55</w:t>
            </w:r>
          </w:p>
        </w:tc>
      </w:tr>
      <w:tr>
        <w:trPr>
          <w:trHeight w:hRule="atLeast" w:val="345"/>
        </w:trPr>
        <w:tc>
          <w:tcPr>
            <w:tcW w:w="1500" w:type="dxa"/>
            <w:shd w:val="clear" w:color="auto" w:fill="42A5F5"/>
            <w:vAlign w:val="top"/>
          </w:tcPr>
          <w:p>
            <w:pPr>
              <w:pStyle w:val="P15"/>
              <w:rPr>
                <w:rStyle w:val="C18"/>
                <w:rtl w:val="0"/>
              </w:rPr>
            </w:pPr>
            <w:r>
              <w:rPr>
                <w:rStyle w:val="C18"/>
                <w:rtl w:val="0"/>
              </w:rPr>
              <w:t>PROGRAM</w:t>
            </w:r>
          </w:p>
        </w:tc>
        <w:tc>
          <w:tcPr>
            <w:tcW w:w="1065" w:type="dxa"/>
            <w:shd w:val="clear" w:color="auto" w:fill="42A5F5"/>
            <w:vAlign w:val="top"/>
          </w:tcPr>
          <w:p>
            <w:pPr>
              <w:pStyle w:val="P15"/>
              <w:rPr>
                <w:rStyle w:val="C18"/>
                <w:rtl w:val="0"/>
              </w:rPr>
            </w:pPr>
            <w:r>
              <w:rPr>
                <w:rStyle w:val="C18"/>
                <w:rtl w:val="0"/>
              </w:rPr>
              <w:t>7005</w:t>
            </w:r>
          </w:p>
        </w:tc>
        <w:tc>
          <w:tcPr>
            <w:tcW w:w="5865" w:type="dxa"/>
            <w:shd w:val="clear" w:color="auto" w:fill="42A5F5"/>
            <w:vAlign w:val="top"/>
          </w:tcPr>
          <w:p>
            <w:pPr>
              <w:pStyle w:val="P15"/>
              <w:rPr>
                <w:rStyle w:val="C18"/>
                <w:rtl w:val="0"/>
              </w:rPr>
            </w:pPr>
            <w:r>
              <w:rPr>
                <w:rStyle w:val="C18"/>
                <w:rtl w:val="0"/>
              </w:rPr>
              <w:t>PROGRAM UPRAVNOG ODJELA</w:t>
            </w:r>
          </w:p>
        </w:tc>
        <w:tc>
          <w:tcPr>
            <w:tcW w:w="2175" w:type="dxa"/>
            <w:shd w:val="clear" w:color="auto" w:fill="42A5F5"/>
            <w:vAlign w:val="top"/>
          </w:tcPr>
          <w:p>
            <w:pPr>
              <w:pStyle w:val="P16"/>
              <w:rPr>
                <w:rStyle w:val="C19"/>
                <w:rtl w:val="0"/>
              </w:rPr>
            </w:pPr>
            <w:r>
              <w:rPr>
                <w:rStyle w:val="C19"/>
                <w:rtl w:val="0"/>
              </w:rPr>
              <w:t>3.626,00</w:t>
            </w:r>
          </w:p>
        </w:tc>
        <w:tc>
          <w:tcPr>
            <w:tcW w:w="2205" w:type="dxa"/>
            <w:gridSpan w:val="2"/>
            <w:shd w:val="clear" w:color="auto" w:fill="42A5F5"/>
            <w:vAlign w:val="top"/>
          </w:tcPr>
          <w:p>
            <w:pPr>
              <w:pStyle w:val="P16"/>
              <w:rPr>
                <w:rStyle w:val="C19"/>
                <w:rtl w:val="0"/>
              </w:rPr>
            </w:pPr>
            <w:r>
              <w:rPr>
                <w:rStyle w:val="C19"/>
                <w:rtl w:val="0"/>
              </w:rPr>
              <w:t>3.754,63</w:t>
            </w:r>
          </w:p>
        </w:tc>
        <w:tc>
          <w:tcPr>
            <w:tcW w:w="2130" w:type="dxa"/>
            <w:shd w:val="clear" w:color="auto" w:fill="42A5F5"/>
            <w:vAlign w:val="top"/>
          </w:tcPr>
          <w:p>
            <w:pPr>
              <w:pStyle w:val="P16"/>
              <w:rPr>
                <w:rStyle w:val="C19"/>
                <w:rtl w:val="0"/>
              </w:rPr>
            </w:pPr>
            <w:r>
              <w:rPr>
                <w:rStyle w:val="C19"/>
                <w:rtl w:val="0"/>
              </w:rPr>
              <w:t>7.380,63</w:t>
            </w:r>
          </w:p>
        </w:tc>
        <w:tc>
          <w:tcPr>
            <w:tcW w:w="930" w:type="dxa"/>
            <w:shd w:val="clear" w:color="auto" w:fill="42A5F5"/>
            <w:vAlign w:val="top"/>
          </w:tcPr>
          <w:p>
            <w:pPr>
              <w:pStyle w:val="P16"/>
              <w:rPr>
                <w:rStyle w:val="C19"/>
                <w:rtl w:val="0"/>
              </w:rPr>
            </w:pPr>
            <w:r>
              <w:rPr>
                <w:rStyle w:val="C19"/>
                <w:rtl w:val="0"/>
              </w:rPr>
              <w:t>103,55</w:t>
            </w:r>
          </w:p>
        </w:tc>
      </w:tr>
      <w:tr>
        <w:trPr>
          <w:trHeight w:hRule="atLeast" w:val="345"/>
        </w:trPr>
        <w:tc>
          <w:tcPr>
            <w:tcW w:w="1500" w:type="dxa"/>
            <w:shd w:val="clear" w:color="auto" w:fill="BBDEFB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Tekući projekt</w:t>
            </w:r>
          </w:p>
        </w:tc>
        <w:tc>
          <w:tcPr>
            <w:tcW w:w="1065" w:type="dxa"/>
            <w:shd w:val="clear" w:color="auto" w:fill="BBDEFB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T107027</w:t>
            </w:r>
          </w:p>
        </w:tc>
        <w:tc>
          <w:tcPr>
            <w:tcW w:w="5865" w:type="dxa"/>
            <w:shd w:val="clear" w:color="auto" w:fill="BBDEFB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ŠKOLSKA SHEMA 2025/2026</w:t>
            </w:r>
          </w:p>
        </w:tc>
        <w:tc>
          <w:tcPr>
            <w:tcW w:w="2175" w:type="dxa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0,00</w:t>
            </w:r>
          </w:p>
        </w:tc>
        <w:tc>
          <w:tcPr>
            <w:tcW w:w="2205" w:type="dxa"/>
            <w:gridSpan w:val="2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800,00</w:t>
            </w:r>
          </w:p>
        </w:tc>
        <w:tc>
          <w:tcPr>
            <w:tcW w:w="2130" w:type="dxa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800,00</w:t>
            </w:r>
          </w:p>
        </w:tc>
        <w:tc>
          <w:tcPr>
            <w:tcW w:w="930" w:type="dxa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05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POMOĆI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0,00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800,00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800,00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56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POMOĆI IZ PRORAČUNA - EU ŽUPANIJA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0,00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800,00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800,00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0,00</w:t>
            </w:r>
          </w:p>
        </w:tc>
      </w:tr>
      <w:tr>
        <w:trPr>
          <w:trHeight w:hRule="atLeast" w:val="315"/>
        </w:trPr>
        <w:tc>
          <w:tcPr>
            <w:tcW w:w="1500" w:type="dxa"/>
            <w:shd w:val="clear" w:color="auto" w:fill="A5D6A7"/>
            <w:vAlign w:val="top"/>
          </w:tcPr>
          <w:p>
            <w:pPr>
              <w:pStyle w:val="P19"/>
              <w:rPr>
                <w:rStyle w:val="C22"/>
                <w:rtl w:val="0"/>
              </w:rPr>
            </w:pPr>
            <w:r>
              <w:rPr>
                <w:rStyle w:val="C22"/>
                <w:rtl w:val="0"/>
              </w:rPr>
              <w:t>Korisnik</w:t>
            </w:r>
          </w:p>
        </w:tc>
        <w:tc>
          <w:tcPr>
            <w:tcW w:w="1065" w:type="dxa"/>
            <w:shd w:val="clear" w:color="auto" w:fill="A5D6A7"/>
            <w:vAlign w:val="top"/>
          </w:tcPr>
          <w:p>
            <w:pPr>
              <w:pStyle w:val="P20"/>
              <w:rPr>
                <w:rStyle w:val="C23"/>
                <w:rtl w:val="0"/>
              </w:rPr>
            </w:pPr>
          </w:p>
        </w:tc>
        <w:tc>
          <w:tcPr>
            <w:tcW w:w="5865" w:type="dxa"/>
            <w:shd w:val="clear" w:color="auto" w:fill="A5D6A7"/>
            <w:vAlign w:val="top"/>
          </w:tcPr>
          <w:p>
            <w:pPr>
              <w:pStyle w:val="P19"/>
              <w:rPr>
                <w:rStyle w:val="C22"/>
                <w:rtl w:val="0"/>
              </w:rPr>
            </w:pPr>
            <w:r>
              <w:rPr>
                <w:rStyle w:val="C22"/>
                <w:rtl w:val="0"/>
              </w:rPr>
              <w:t>OSNOVNA ŠKOLA IVAN LACKOVIĆ CROATA KALINOVAC</w:t>
            </w:r>
          </w:p>
        </w:tc>
        <w:tc>
          <w:tcPr>
            <w:tcW w:w="2175" w:type="dxa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0,00</w:t>
            </w:r>
          </w:p>
        </w:tc>
        <w:tc>
          <w:tcPr>
            <w:tcW w:w="2205" w:type="dxa"/>
            <w:gridSpan w:val="2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800,00</w:t>
            </w:r>
          </w:p>
        </w:tc>
        <w:tc>
          <w:tcPr>
            <w:tcW w:w="2130" w:type="dxa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800,00</w:t>
            </w:r>
          </w:p>
        </w:tc>
        <w:tc>
          <w:tcPr>
            <w:tcW w:w="930" w:type="dxa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BEE"/>
            <w:vAlign w:val="top"/>
          </w:tcPr>
          <w:p>
            <w:pPr>
              <w:pStyle w:val="P22"/>
              <w:rPr>
                <w:rStyle w:val="C25"/>
                <w:rtl w:val="0"/>
              </w:rPr>
            </w:pPr>
            <w:r>
              <w:rPr>
                <w:rStyle w:val="C25"/>
                <w:rtl w:val="0"/>
              </w:rPr>
              <w:t>Funkcija</w:t>
            </w:r>
          </w:p>
        </w:tc>
        <w:tc>
          <w:tcPr>
            <w:tcW w:w="1065" w:type="dxa"/>
            <w:shd w:val="clear" w:color="auto" w:fill="FFEBEE"/>
            <w:vAlign w:val="top"/>
          </w:tcPr>
          <w:p>
            <w:pPr>
              <w:pStyle w:val="P22"/>
              <w:rPr>
                <w:rStyle w:val="C25"/>
                <w:rtl w:val="0"/>
              </w:rPr>
            </w:pPr>
            <w:r>
              <w:rPr>
                <w:rStyle w:val="C25"/>
                <w:rtl w:val="0"/>
              </w:rPr>
              <w:t>0981</w:t>
            </w:r>
          </w:p>
        </w:tc>
        <w:tc>
          <w:tcPr>
            <w:tcW w:w="5865" w:type="dxa"/>
            <w:shd w:val="clear" w:color="auto" w:fill="FFEBEE"/>
            <w:vAlign w:val="top"/>
          </w:tcPr>
          <w:p>
            <w:pPr>
              <w:pStyle w:val="P22"/>
              <w:rPr>
                <w:rStyle w:val="C25"/>
                <w:rtl w:val="0"/>
              </w:rPr>
            </w:pPr>
            <w:r>
              <w:rPr>
                <w:rStyle w:val="C25"/>
                <w:rtl w:val="0"/>
              </w:rPr>
              <w:t>Usluge obrazovanja koje nisu drugdje svrstane</w:t>
            </w:r>
          </w:p>
        </w:tc>
        <w:tc>
          <w:tcPr>
            <w:tcW w:w="2175" w:type="dxa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0,00</w:t>
            </w:r>
          </w:p>
        </w:tc>
        <w:tc>
          <w:tcPr>
            <w:tcW w:w="2205" w:type="dxa"/>
            <w:gridSpan w:val="2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800,00</w:t>
            </w:r>
          </w:p>
        </w:tc>
        <w:tc>
          <w:tcPr>
            <w:tcW w:w="2130" w:type="dxa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800,00</w:t>
            </w:r>
          </w:p>
        </w:tc>
        <w:tc>
          <w:tcPr>
            <w:tcW w:w="930" w:type="dxa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Rashodi poslovanja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800,00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800,00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32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Materijalni rashodi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800,00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800,00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Rashodi za materijal i energiju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800,00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Materijal i sirovine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800,00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32224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Namirnice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800,00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45"/>
        </w:trPr>
        <w:tc>
          <w:tcPr>
            <w:tcW w:w="1500" w:type="dxa"/>
            <w:shd w:val="clear" w:color="auto" w:fill="BBDEFB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Aktivnost</w:t>
            </w:r>
          </w:p>
        </w:tc>
        <w:tc>
          <w:tcPr>
            <w:tcW w:w="1065" w:type="dxa"/>
            <w:shd w:val="clear" w:color="auto" w:fill="BBDEFB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A107011</w:t>
            </w:r>
          </w:p>
        </w:tc>
        <w:tc>
          <w:tcPr>
            <w:tcW w:w="5865" w:type="dxa"/>
            <w:shd w:val="clear" w:color="auto" w:fill="BBDEFB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NATJECANJA-OSNOVNE I SREDNJE ŠKOLE</w:t>
            </w:r>
          </w:p>
        </w:tc>
        <w:tc>
          <w:tcPr>
            <w:tcW w:w="2175" w:type="dxa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1.391,00</w:t>
            </w:r>
          </w:p>
        </w:tc>
        <w:tc>
          <w:tcPr>
            <w:tcW w:w="2205" w:type="dxa"/>
            <w:gridSpan w:val="2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- 458,00</w:t>
            </w:r>
          </w:p>
        </w:tc>
        <w:tc>
          <w:tcPr>
            <w:tcW w:w="2130" w:type="dxa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933,00</w:t>
            </w:r>
          </w:p>
        </w:tc>
        <w:tc>
          <w:tcPr>
            <w:tcW w:w="930" w:type="dxa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- 32,93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01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OPĆI PRIHODI I PRIMICI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1.157,00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- 278,00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879,00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32,93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11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PRIHODI OD POREZA ZA REDOVNU DJELATNOST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1.157,00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- 278,00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879,00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32,93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05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POMOĆI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234,00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- 180,00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54,00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32,93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55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POMOĆI - PRORAČUNSKI KORISNICI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234,00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- 180,00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54,00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32,93</w:t>
            </w:r>
          </w:p>
        </w:tc>
      </w:tr>
      <w:tr>
        <w:trPr>
          <w:trHeight w:hRule="atLeast" w:val="315"/>
        </w:trPr>
        <w:tc>
          <w:tcPr>
            <w:tcW w:w="1500" w:type="dxa"/>
            <w:shd w:val="clear" w:color="auto" w:fill="A5D6A7"/>
            <w:vAlign w:val="top"/>
          </w:tcPr>
          <w:p>
            <w:pPr>
              <w:pStyle w:val="P19"/>
              <w:rPr>
                <w:rStyle w:val="C22"/>
                <w:rtl w:val="0"/>
              </w:rPr>
            </w:pPr>
            <w:r>
              <w:rPr>
                <w:rStyle w:val="C22"/>
                <w:rtl w:val="0"/>
              </w:rPr>
              <w:t>Korisnik</w:t>
            </w:r>
          </w:p>
        </w:tc>
        <w:tc>
          <w:tcPr>
            <w:tcW w:w="1065" w:type="dxa"/>
            <w:shd w:val="clear" w:color="auto" w:fill="A5D6A7"/>
            <w:vAlign w:val="top"/>
          </w:tcPr>
          <w:p>
            <w:pPr>
              <w:pStyle w:val="P20"/>
              <w:rPr>
                <w:rStyle w:val="C23"/>
                <w:rtl w:val="0"/>
              </w:rPr>
            </w:pPr>
          </w:p>
        </w:tc>
        <w:tc>
          <w:tcPr>
            <w:tcW w:w="5865" w:type="dxa"/>
            <w:shd w:val="clear" w:color="auto" w:fill="A5D6A7"/>
            <w:vAlign w:val="top"/>
          </w:tcPr>
          <w:p>
            <w:pPr>
              <w:pStyle w:val="P19"/>
              <w:rPr>
                <w:rStyle w:val="C22"/>
                <w:rtl w:val="0"/>
              </w:rPr>
            </w:pPr>
            <w:r>
              <w:rPr>
                <w:rStyle w:val="C22"/>
                <w:rtl w:val="0"/>
              </w:rPr>
              <w:t>OSNOVNA ŠKOLA IVAN LACKOVIĆ CROATA KALINOVAC</w:t>
            </w:r>
          </w:p>
        </w:tc>
        <w:tc>
          <w:tcPr>
            <w:tcW w:w="2175" w:type="dxa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1.391,00</w:t>
            </w:r>
          </w:p>
        </w:tc>
        <w:tc>
          <w:tcPr>
            <w:tcW w:w="2205" w:type="dxa"/>
            <w:gridSpan w:val="2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- 458,00</w:t>
            </w:r>
          </w:p>
        </w:tc>
        <w:tc>
          <w:tcPr>
            <w:tcW w:w="2130" w:type="dxa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933,00</w:t>
            </w:r>
          </w:p>
        </w:tc>
        <w:tc>
          <w:tcPr>
            <w:tcW w:w="930" w:type="dxa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- 32,93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BEE"/>
            <w:vAlign w:val="top"/>
          </w:tcPr>
          <w:p>
            <w:pPr>
              <w:pStyle w:val="P22"/>
              <w:rPr>
                <w:rStyle w:val="C25"/>
                <w:rtl w:val="0"/>
              </w:rPr>
            </w:pPr>
            <w:r>
              <w:rPr>
                <w:rStyle w:val="C25"/>
                <w:rtl w:val="0"/>
              </w:rPr>
              <w:t>Funkcija</w:t>
            </w:r>
          </w:p>
        </w:tc>
        <w:tc>
          <w:tcPr>
            <w:tcW w:w="1065" w:type="dxa"/>
            <w:shd w:val="clear" w:color="auto" w:fill="FFEBEE"/>
            <w:vAlign w:val="top"/>
          </w:tcPr>
          <w:p>
            <w:pPr>
              <w:pStyle w:val="P22"/>
              <w:rPr>
                <w:rStyle w:val="C25"/>
                <w:rtl w:val="0"/>
              </w:rPr>
            </w:pPr>
            <w:r>
              <w:rPr>
                <w:rStyle w:val="C25"/>
                <w:rtl w:val="0"/>
              </w:rPr>
              <w:t>0981</w:t>
            </w:r>
          </w:p>
        </w:tc>
        <w:tc>
          <w:tcPr>
            <w:tcW w:w="5865" w:type="dxa"/>
            <w:shd w:val="clear" w:color="auto" w:fill="FFEBEE"/>
            <w:vAlign w:val="top"/>
          </w:tcPr>
          <w:p>
            <w:pPr>
              <w:pStyle w:val="P22"/>
              <w:rPr>
                <w:rStyle w:val="C25"/>
                <w:rtl w:val="0"/>
              </w:rPr>
            </w:pPr>
            <w:r>
              <w:rPr>
                <w:rStyle w:val="C25"/>
                <w:rtl w:val="0"/>
              </w:rPr>
              <w:t>Usluge obrazovanja koje nisu drugdje svrstane</w:t>
            </w:r>
          </w:p>
        </w:tc>
        <w:tc>
          <w:tcPr>
            <w:tcW w:w="2175" w:type="dxa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1.391,00</w:t>
            </w:r>
          </w:p>
        </w:tc>
        <w:tc>
          <w:tcPr>
            <w:tcW w:w="2205" w:type="dxa"/>
            <w:gridSpan w:val="2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- 458,00</w:t>
            </w:r>
          </w:p>
        </w:tc>
        <w:tc>
          <w:tcPr>
            <w:tcW w:w="2130" w:type="dxa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933,00</w:t>
            </w:r>
          </w:p>
        </w:tc>
        <w:tc>
          <w:tcPr>
            <w:tcW w:w="930" w:type="dxa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- 32,93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Rashodi poslovanja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1.391,00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- 458,00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933,00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- 32,93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32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Materijalni rashodi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1.157,00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- 278,00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879,00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- 24,03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Rashodi za materijal i energiju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414,00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- 235,00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179,00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- 56,76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Materijal i sirovine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414,00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- 235,00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179,00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- 56,76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32224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Namirnice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414,00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- 235,00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179,00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- 56,76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Rashodi za usluge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743,00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- 43,00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700,00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- 5,79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Usluge telefona, interneta, pošte i prijevoza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588,00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37,00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625,00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6,29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32319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Ostale usluge za komunikaciju i prijevoz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588,00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37,00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625,00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6,29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3237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Intelektualne i osobne usluge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155,00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- 80,00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75,00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- 51,61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32372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Ugovori o djelu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155,00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- 80,00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75,00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- 51,61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36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Pomoći dane u inozemstvo i unutar općeg proračuna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234,00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- 180,00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54,00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- 76,92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369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Prijenosi između proračunskih korisnika istog proračuna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234,00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- 180,00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54,00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- 76,92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3691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Tekući prijenosi između proračunskih korisnika istog proračuna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234,00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- 180,00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54,00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- 76,92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36911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Tekući prijenosi između proračunskih korisnika istog proračuna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234,00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- 180,00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54,00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- 76,92</w:t>
            </w:r>
          </w:p>
        </w:tc>
      </w:tr>
      <w:tr>
        <w:trPr>
          <w:trHeight w:hRule="atLeast" w:val="345"/>
        </w:trPr>
        <w:tc>
          <w:tcPr>
            <w:tcW w:w="1500" w:type="dxa"/>
            <w:shd w:val="clear" w:color="auto" w:fill="BBDEFB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Tekući projekt</w:t>
            </w:r>
          </w:p>
        </w:tc>
        <w:tc>
          <w:tcPr>
            <w:tcW w:w="1065" w:type="dxa"/>
            <w:shd w:val="clear" w:color="auto" w:fill="BBDEFB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T107021</w:t>
            </w:r>
          </w:p>
        </w:tc>
        <w:tc>
          <w:tcPr>
            <w:tcW w:w="5865" w:type="dxa"/>
            <w:shd w:val="clear" w:color="auto" w:fill="BBDEFB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ŠKOLSKA SHEMA 2024/2025</w:t>
            </w:r>
          </w:p>
        </w:tc>
        <w:tc>
          <w:tcPr>
            <w:tcW w:w="2175" w:type="dxa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2.235,00</w:t>
            </w:r>
          </w:p>
        </w:tc>
        <w:tc>
          <w:tcPr>
            <w:tcW w:w="2205" w:type="dxa"/>
            <w:gridSpan w:val="2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- 1.337,37</w:t>
            </w:r>
          </w:p>
        </w:tc>
        <w:tc>
          <w:tcPr>
            <w:tcW w:w="2130" w:type="dxa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897,63</w:t>
            </w:r>
          </w:p>
        </w:tc>
        <w:tc>
          <w:tcPr>
            <w:tcW w:w="930" w:type="dxa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- 59,84</w:t>
            </w:r>
          </w:p>
        </w:tc>
      </w:tr>
    </w:tbl>
    <w:p>
      <w:pPr>
        <w:rPr>
          <w:rtl w:val="0"/>
        </w:rPr>
        <w:sectPr>
          <w:headerReference xmlns:r="http://schemas.openxmlformats.org/officeDocument/2006/relationships" w:type="default" r:id="RelHdr6"/>
          <w:footerReference xmlns:r="http://schemas.openxmlformats.org/officeDocument/2006/relationships" w:type="default" r:id="RelFtr6"/>
          <w:type w:val="nextPage"/>
          <w:pgSz w:w="16833" w:h="11908" w:orient="landscape"/>
          <w:pgMar w:left="566" w:right="396" w:top="396" w:bottom="396" w:header="0" w:footer="0" w:gutter="0"/>
          <w:formProt w:val="0"/>
        </w:sectPr>
      </w:pPr>
    </w:p>
    <w:tbl>
      <w:tblPr>
        <w:bidiVisual w:val="0"/>
        <w:tblLayout w:type="fixed"/>
        <w:tblCellMar>
          <w:left w:w="0" w:type="dxa"/>
          <w:right w:w="0" w:type="dxa"/>
        </w:tblCellMar>
      </w:tblPr>
      <w:tblGrid>
        <w:gridCol w:w="1500"/>
        <w:gridCol w:w="1065"/>
        <w:gridCol w:w="5865"/>
        <w:gridCol w:w="2175"/>
        <w:gridCol w:w="2175"/>
        <w:gridCol w:w="30"/>
        <w:gridCol w:w="2130"/>
        <w:gridCol w:w="930"/>
      </w:tblGrid>
      <w:tr>
        <w:trPr>
          <w:trHeight w:hRule="atLeast" w:val="300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05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POMOĆI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2.235,00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- 1.337,37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897,63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59,84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56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POMOĆI IZ PRORAČUNA - EU ŽUPANIJA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2.235,00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- 1.337,37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897,63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59,84</w:t>
            </w:r>
          </w:p>
        </w:tc>
      </w:tr>
      <w:tr>
        <w:trPr>
          <w:trHeight w:hRule="atLeast" w:val="315"/>
        </w:trPr>
        <w:tc>
          <w:tcPr>
            <w:tcW w:w="1500" w:type="dxa"/>
            <w:shd w:val="clear" w:color="auto" w:fill="A5D6A7"/>
            <w:vAlign w:val="top"/>
          </w:tcPr>
          <w:p>
            <w:pPr>
              <w:pStyle w:val="P19"/>
              <w:rPr>
                <w:rStyle w:val="C22"/>
                <w:rtl w:val="0"/>
              </w:rPr>
            </w:pPr>
            <w:r>
              <w:rPr>
                <w:rStyle w:val="C22"/>
                <w:rtl w:val="0"/>
              </w:rPr>
              <w:t>Korisnik</w:t>
            </w:r>
          </w:p>
        </w:tc>
        <w:tc>
          <w:tcPr>
            <w:tcW w:w="1065" w:type="dxa"/>
            <w:shd w:val="clear" w:color="auto" w:fill="A5D6A7"/>
            <w:vAlign w:val="top"/>
          </w:tcPr>
          <w:p>
            <w:pPr>
              <w:pStyle w:val="P20"/>
              <w:rPr>
                <w:rStyle w:val="C23"/>
                <w:rtl w:val="0"/>
              </w:rPr>
            </w:pPr>
          </w:p>
        </w:tc>
        <w:tc>
          <w:tcPr>
            <w:tcW w:w="5865" w:type="dxa"/>
            <w:shd w:val="clear" w:color="auto" w:fill="A5D6A7"/>
            <w:vAlign w:val="top"/>
          </w:tcPr>
          <w:p>
            <w:pPr>
              <w:pStyle w:val="P19"/>
              <w:rPr>
                <w:rStyle w:val="C22"/>
                <w:rtl w:val="0"/>
              </w:rPr>
            </w:pPr>
            <w:r>
              <w:rPr>
                <w:rStyle w:val="C22"/>
                <w:rtl w:val="0"/>
              </w:rPr>
              <w:t>OSNOVNA ŠKOLA IVAN LACKOVIĆ CROATA KALINOVAC</w:t>
            </w:r>
          </w:p>
        </w:tc>
        <w:tc>
          <w:tcPr>
            <w:tcW w:w="2175" w:type="dxa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2.235,00</w:t>
            </w:r>
          </w:p>
        </w:tc>
        <w:tc>
          <w:tcPr>
            <w:tcW w:w="2205" w:type="dxa"/>
            <w:gridSpan w:val="2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- 1.337,37</w:t>
            </w:r>
          </w:p>
        </w:tc>
        <w:tc>
          <w:tcPr>
            <w:tcW w:w="2130" w:type="dxa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897,63</w:t>
            </w:r>
          </w:p>
        </w:tc>
        <w:tc>
          <w:tcPr>
            <w:tcW w:w="930" w:type="dxa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- 59,84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BEE"/>
            <w:vAlign w:val="top"/>
          </w:tcPr>
          <w:p>
            <w:pPr>
              <w:pStyle w:val="P22"/>
              <w:rPr>
                <w:rStyle w:val="C25"/>
                <w:rtl w:val="0"/>
              </w:rPr>
            </w:pPr>
            <w:r>
              <w:rPr>
                <w:rStyle w:val="C25"/>
                <w:rtl w:val="0"/>
              </w:rPr>
              <w:t>Funkcija</w:t>
            </w:r>
          </w:p>
        </w:tc>
        <w:tc>
          <w:tcPr>
            <w:tcW w:w="1065" w:type="dxa"/>
            <w:shd w:val="clear" w:color="auto" w:fill="FFEBEE"/>
            <w:vAlign w:val="top"/>
          </w:tcPr>
          <w:p>
            <w:pPr>
              <w:pStyle w:val="P22"/>
              <w:rPr>
                <w:rStyle w:val="C25"/>
                <w:rtl w:val="0"/>
              </w:rPr>
            </w:pPr>
            <w:r>
              <w:rPr>
                <w:rStyle w:val="C25"/>
                <w:rtl w:val="0"/>
              </w:rPr>
              <w:t>0981</w:t>
            </w:r>
          </w:p>
        </w:tc>
        <w:tc>
          <w:tcPr>
            <w:tcW w:w="5865" w:type="dxa"/>
            <w:shd w:val="clear" w:color="auto" w:fill="FFEBEE"/>
            <w:vAlign w:val="top"/>
          </w:tcPr>
          <w:p>
            <w:pPr>
              <w:pStyle w:val="P22"/>
              <w:rPr>
                <w:rStyle w:val="C25"/>
                <w:rtl w:val="0"/>
              </w:rPr>
            </w:pPr>
            <w:r>
              <w:rPr>
                <w:rStyle w:val="C25"/>
                <w:rtl w:val="0"/>
              </w:rPr>
              <w:t>Usluge obrazovanja koje nisu drugdje svrstane</w:t>
            </w:r>
          </w:p>
        </w:tc>
        <w:tc>
          <w:tcPr>
            <w:tcW w:w="2175" w:type="dxa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2.235,00</w:t>
            </w:r>
          </w:p>
        </w:tc>
        <w:tc>
          <w:tcPr>
            <w:tcW w:w="2205" w:type="dxa"/>
            <w:gridSpan w:val="2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- 1.337,37</w:t>
            </w:r>
          </w:p>
        </w:tc>
        <w:tc>
          <w:tcPr>
            <w:tcW w:w="2130" w:type="dxa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897,63</w:t>
            </w:r>
          </w:p>
        </w:tc>
        <w:tc>
          <w:tcPr>
            <w:tcW w:w="930" w:type="dxa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- 59,84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Rashodi poslovanja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2.235,00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- 1.337,37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897,63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- 59,84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32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Materijalni rashodi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2.235,00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- 1.337,37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897,63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- 59,84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Rashodi za materijal i energiju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2.235,00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- 1.337,37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897,63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- 59,84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Materijal i sirovine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2.235,00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- 1.337,37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897,63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- 59,84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32224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Namirnice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2.235,00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- 1.337,37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897,63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- 59,84</w:t>
            </w:r>
          </w:p>
        </w:tc>
      </w:tr>
      <w:tr>
        <w:trPr>
          <w:trHeight w:hRule="atLeast" w:val="345"/>
        </w:trPr>
        <w:tc>
          <w:tcPr>
            <w:tcW w:w="1500" w:type="dxa"/>
            <w:shd w:val="clear" w:color="auto" w:fill="BBDEFB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Tekući projekt</w:t>
            </w:r>
          </w:p>
        </w:tc>
        <w:tc>
          <w:tcPr>
            <w:tcW w:w="1065" w:type="dxa"/>
            <w:shd w:val="clear" w:color="auto" w:fill="BBDEFB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T107020</w:t>
            </w:r>
          </w:p>
        </w:tc>
        <w:tc>
          <w:tcPr>
            <w:tcW w:w="5865" w:type="dxa"/>
            <w:shd w:val="clear" w:color="auto" w:fill="BBDEFB"/>
            <w:vAlign w:val="top"/>
          </w:tcPr>
          <w:p>
            <w:pPr>
              <w:pStyle w:val="P17"/>
              <w:rPr>
                <w:rStyle w:val="C20"/>
                <w:rtl w:val="0"/>
              </w:rPr>
            </w:pPr>
            <w:r>
              <w:rPr>
                <w:rStyle w:val="C20"/>
                <w:rtl w:val="0"/>
              </w:rPr>
              <w:t>PRILIKA ZA SVE 7</w:t>
            </w:r>
          </w:p>
        </w:tc>
        <w:tc>
          <w:tcPr>
            <w:tcW w:w="2175" w:type="dxa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0,00</w:t>
            </w:r>
          </w:p>
        </w:tc>
        <w:tc>
          <w:tcPr>
            <w:tcW w:w="2205" w:type="dxa"/>
            <w:gridSpan w:val="2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4.750,00</w:t>
            </w:r>
          </w:p>
        </w:tc>
        <w:tc>
          <w:tcPr>
            <w:tcW w:w="2130" w:type="dxa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4.750,00</w:t>
            </w:r>
          </w:p>
        </w:tc>
        <w:tc>
          <w:tcPr>
            <w:tcW w:w="930" w:type="dxa"/>
            <w:shd w:val="clear" w:color="auto" w:fill="BBDEFB"/>
            <w:vAlign w:val="top"/>
          </w:tcPr>
          <w:p>
            <w:pPr>
              <w:pStyle w:val="P18"/>
              <w:rPr>
                <w:rStyle w:val="C21"/>
                <w:rtl w:val="0"/>
              </w:rPr>
            </w:pPr>
            <w:r>
              <w:rPr>
                <w:rStyle w:val="C21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01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OPĆI PRIHODI I PRIMICI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0,00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4.030,00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4.030,00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11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PRIHODI OD POREZA ZA REDOVNU DJELATNOST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0,00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4.030,00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4.030,00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05</w:t>
            </w:r>
          </w:p>
        </w:tc>
        <w:tc>
          <w:tcPr>
            <w:tcW w:w="5865" w:type="dxa"/>
            <w:shd w:val="clear" w:color="auto" w:fill="FFE082"/>
            <w:vAlign w:val="top"/>
          </w:tcPr>
          <w:p>
            <w:pPr>
              <w:pStyle w:val="P11"/>
              <w:rPr>
                <w:rStyle w:val="C14"/>
                <w:rtl w:val="0"/>
              </w:rPr>
            </w:pPr>
            <w:r>
              <w:rPr>
                <w:rStyle w:val="C14"/>
                <w:rtl w:val="0"/>
              </w:rPr>
              <w:t>POMOĆI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0,00</w:t>
            </w:r>
          </w:p>
        </w:tc>
        <w:tc>
          <w:tcPr>
            <w:tcW w:w="2175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720,00</w:t>
            </w:r>
          </w:p>
        </w:tc>
        <w:tc>
          <w:tcPr>
            <w:tcW w:w="2160" w:type="dxa"/>
            <w:gridSpan w:val="2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720,00</w:t>
            </w:r>
          </w:p>
        </w:tc>
        <w:tc>
          <w:tcPr>
            <w:tcW w:w="930" w:type="dxa"/>
            <w:shd w:val="clear" w:color="auto" w:fill="FFE082"/>
            <w:vAlign w:val="top"/>
          </w:tcPr>
          <w:p>
            <w:pPr>
              <w:pStyle w:val="P12"/>
              <w:rPr>
                <w:rStyle w:val="C15"/>
                <w:rtl w:val="0"/>
              </w:rPr>
            </w:pPr>
            <w:r>
              <w:rPr>
                <w:rStyle w:val="C15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Izvor financiranja</w:t>
            </w:r>
          </w:p>
        </w:tc>
        <w:tc>
          <w:tcPr>
            <w:tcW w:w="10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56</w:t>
            </w:r>
          </w:p>
        </w:tc>
        <w:tc>
          <w:tcPr>
            <w:tcW w:w="5865" w:type="dxa"/>
            <w:shd w:val="clear" w:color="auto" w:fill="FFF9C4"/>
            <w:vAlign w:val="top"/>
          </w:tcPr>
          <w:p>
            <w:pPr>
              <w:pStyle w:val="P13"/>
              <w:rPr>
                <w:rStyle w:val="C16"/>
                <w:rtl w:val="0"/>
              </w:rPr>
            </w:pPr>
            <w:r>
              <w:rPr>
                <w:rStyle w:val="C16"/>
                <w:rtl w:val="0"/>
              </w:rPr>
              <w:t>POMOĆI IZ PRORAČUNA - EU ŽUPANIJA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0,00</w:t>
            </w:r>
          </w:p>
        </w:tc>
        <w:tc>
          <w:tcPr>
            <w:tcW w:w="2175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720,00</w:t>
            </w:r>
          </w:p>
        </w:tc>
        <w:tc>
          <w:tcPr>
            <w:tcW w:w="2160" w:type="dxa"/>
            <w:gridSpan w:val="2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720,00</w:t>
            </w:r>
          </w:p>
        </w:tc>
        <w:tc>
          <w:tcPr>
            <w:tcW w:w="930" w:type="dxa"/>
            <w:shd w:val="clear" w:color="auto" w:fill="FFF9C4"/>
            <w:vAlign w:val="top"/>
          </w:tcPr>
          <w:p>
            <w:pPr>
              <w:pStyle w:val="P14"/>
              <w:rPr>
                <w:rStyle w:val="C17"/>
                <w:rtl w:val="0"/>
              </w:rPr>
            </w:pPr>
            <w:r>
              <w:rPr>
                <w:rStyle w:val="C17"/>
                <w:rtl w:val="0"/>
              </w:rPr>
              <w:t>0,00</w:t>
            </w:r>
          </w:p>
        </w:tc>
      </w:tr>
      <w:tr>
        <w:trPr>
          <w:trHeight w:hRule="atLeast" w:val="315"/>
        </w:trPr>
        <w:tc>
          <w:tcPr>
            <w:tcW w:w="1500" w:type="dxa"/>
            <w:shd w:val="clear" w:color="auto" w:fill="A5D6A7"/>
            <w:vAlign w:val="top"/>
          </w:tcPr>
          <w:p>
            <w:pPr>
              <w:pStyle w:val="P19"/>
              <w:rPr>
                <w:rStyle w:val="C22"/>
                <w:rtl w:val="0"/>
              </w:rPr>
            </w:pPr>
            <w:r>
              <w:rPr>
                <w:rStyle w:val="C22"/>
                <w:rtl w:val="0"/>
              </w:rPr>
              <w:t>Korisnik</w:t>
            </w:r>
          </w:p>
        </w:tc>
        <w:tc>
          <w:tcPr>
            <w:tcW w:w="1065" w:type="dxa"/>
            <w:shd w:val="clear" w:color="auto" w:fill="A5D6A7"/>
            <w:vAlign w:val="top"/>
          </w:tcPr>
          <w:p>
            <w:pPr>
              <w:pStyle w:val="P20"/>
              <w:rPr>
                <w:rStyle w:val="C23"/>
                <w:rtl w:val="0"/>
              </w:rPr>
            </w:pPr>
          </w:p>
        </w:tc>
        <w:tc>
          <w:tcPr>
            <w:tcW w:w="5865" w:type="dxa"/>
            <w:shd w:val="clear" w:color="auto" w:fill="A5D6A7"/>
            <w:vAlign w:val="top"/>
          </w:tcPr>
          <w:p>
            <w:pPr>
              <w:pStyle w:val="P19"/>
              <w:rPr>
                <w:rStyle w:val="C22"/>
                <w:rtl w:val="0"/>
              </w:rPr>
            </w:pPr>
            <w:r>
              <w:rPr>
                <w:rStyle w:val="C22"/>
                <w:rtl w:val="0"/>
              </w:rPr>
              <w:t>OSNOVNA ŠKOLA IVAN LACKOVIĆ CROATA KALINOVAC</w:t>
            </w:r>
          </w:p>
        </w:tc>
        <w:tc>
          <w:tcPr>
            <w:tcW w:w="2175" w:type="dxa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0,00</w:t>
            </w:r>
          </w:p>
        </w:tc>
        <w:tc>
          <w:tcPr>
            <w:tcW w:w="2205" w:type="dxa"/>
            <w:gridSpan w:val="2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4.750,00</w:t>
            </w:r>
          </w:p>
        </w:tc>
        <w:tc>
          <w:tcPr>
            <w:tcW w:w="2130" w:type="dxa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4.750,00</w:t>
            </w:r>
          </w:p>
        </w:tc>
        <w:tc>
          <w:tcPr>
            <w:tcW w:w="930" w:type="dxa"/>
            <w:shd w:val="clear" w:color="auto" w:fill="A5D6A7"/>
            <w:vAlign w:val="top"/>
          </w:tcPr>
          <w:p>
            <w:pPr>
              <w:pStyle w:val="P21"/>
              <w:rPr>
                <w:rStyle w:val="C24"/>
                <w:rtl w:val="0"/>
              </w:rPr>
            </w:pPr>
            <w:r>
              <w:rPr>
                <w:rStyle w:val="C24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FFEBEE"/>
            <w:vAlign w:val="top"/>
          </w:tcPr>
          <w:p>
            <w:pPr>
              <w:pStyle w:val="P22"/>
              <w:rPr>
                <w:rStyle w:val="C25"/>
                <w:rtl w:val="0"/>
              </w:rPr>
            </w:pPr>
            <w:r>
              <w:rPr>
                <w:rStyle w:val="C25"/>
                <w:rtl w:val="0"/>
              </w:rPr>
              <w:t>Funkcija</w:t>
            </w:r>
          </w:p>
        </w:tc>
        <w:tc>
          <w:tcPr>
            <w:tcW w:w="1065" w:type="dxa"/>
            <w:shd w:val="clear" w:color="auto" w:fill="FFEBEE"/>
            <w:vAlign w:val="top"/>
          </w:tcPr>
          <w:p>
            <w:pPr>
              <w:pStyle w:val="P22"/>
              <w:rPr>
                <w:rStyle w:val="C25"/>
                <w:rtl w:val="0"/>
              </w:rPr>
            </w:pPr>
            <w:r>
              <w:rPr>
                <w:rStyle w:val="C25"/>
                <w:rtl w:val="0"/>
              </w:rPr>
              <w:t>0981</w:t>
            </w:r>
          </w:p>
        </w:tc>
        <w:tc>
          <w:tcPr>
            <w:tcW w:w="5865" w:type="dxa"/>
            <w:shd w:val="clear" w:color="auto" w:fill="FFEBEE"/>
            <w:vAlign w:val="top"/>
          </w:tcPr>
          <w:p>
            <w:pPr>
              <w:pStyle w:val="P22"/>
              <w:rPr>
                <w:rStyle w:val="C25"/>
                <w:rtl w:val="0"/>
              </w:rPr>
            </w:pPr>
            <w:r>
              <w:rPr>
                <w:rStyle w:val="C25"/>
                <w:rtl w:val="0"/>
              </w:rPr>
              <w:t>Usluge obrazovanja koje nisu drugdje svrstane</w:t>
            </w:r>
          </w:p>
        </w:tc>
        <w:tc>
          <w:tcPr>
            <w:tcW w:w="2175" w:type="dxa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0,00</w:t>
            </w:r>
          </w:p>
        </w:tc>
        <w:tc>
          <w:tcPr>
            <w:tcW w:w="2205" w:type="dxa"/>
            <w:gridSpan w:val="2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4.750,00</w:t>
            </w:r>
          </w:p>
        </w:tc>
        <w:tc>
          <w:tcPr>
            <w:tcW w:w="2130" w:type="dxa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4.750,00</w:t>
            </w:r>
          </w:p>
        </w:tc>
        <w:tc>
          <w:tcPr>
            <w:tcW w:w="930" w:type="dxa"/>
            <w:shd w:val="clear" w:color="auto" w:fill="FFEBEE"/>
            <w:vAlign w:val="top"/>
          </w:tcPr>
          <w:p>
            <w:pPr>
              <w:pStyle w:val="P23"/>
              <w:rPr>
                <w:rStyle w:val="C26"/>
                <w:rtl w:val="0"/>
              </w:rPr>
            </w:pPr>
            <w:r>
              <w:rPr>
                <w:rStyle w:val="C26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Rashodi poslovanja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4.750,00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4.750,00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31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Rashodi za zaposlene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4.615,00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4.615,00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311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Plaće (Bruto)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3.310,00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3.310,00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3111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Plaće za redovan rad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3.310,00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3.310,00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31111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Plaće za zaposlene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3.310,00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3.310,00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312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Ostali rashodi za zaposlene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750,00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750,00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3121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Ostali rashodi za zaposlene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750,00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750,00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31212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Nagrade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450,00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450,00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31213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Darovi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300,00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300,00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313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Doprinosi na plaće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555,00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555,00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3132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Doprinosi za obvezno zdravstveno osiguranje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555,00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555,00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31321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Doprinosi za obvezno zdravstveno osiguranje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555,00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555,00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32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4"/>
              <w:rPr>
                <w:rStyle w:val="C27"/>
                <w:rtl w:val="0"/>
              </w:rPr>
            </w:pPr>
            <w:r>
              <w:rPr>
                <w:rStyle w:val="C27"/>
                <w:rtl w:val="0"/>
              </w:rPr>
              <w:t>Materijalni rashodi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135,00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135,00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5"/>
              <w:rPr>
                <w:rStyle w:val="C28"/>
                <w:rtl w:val="0"/>
              </w:rPr>
            </w:pPr>
            <w:r>
              <w:rPr>
                <w:rStyle w:val="C28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Naknade troškova zaposlenima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135,00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135,00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3211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Službena putovanja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135,00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135,00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285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32111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Dnevnice za službeni put u zemlji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90,00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90,00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  <w:tr>
        <w:trPr>
          <w:trHeight w:hRule="atLeast" w:val="300"/>
        </w:trPr>
        <w:tc>
          <w:tcPr>
            <w:tcW w:w="1500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32115</w:t>
            </w:r>
          </w:p>
        </w:tc>
        <w:tc>
          <w:tcPr>
            <w:tcW w:w="1065" w:type="dxa"/>
          </w:tcPr>
          <w:p>
            <w:pPr>
              <w:rPr>
                <w:rStyle w:val="C3"/>
                <w:rtl w:val="0"/>
              </w:rPr>
            </w:pPr>
          </w:p>
        </w:tc>
        <w:tc>
          <w:tcPr>
            <w:tcW w:w="5865" w:type="dxa"/>
            <w:shd w:val="clear" w:color="auto" w:fill="auto"/>
            <w:vAlign w:val="top"/>
          </w:tcPr>
          <w:p>
            <w:pPr>
              <w:pStyle w:val="P26"/>
              <w:rPr>
                <w:rStyle w:val="C29"/>
                <w:rtl w:val="0"/>
              </w:rPr>
            </w:pPr>
            <w:r>
              <w:rPr>
                <w:rStyle w:val="C29"/>
                <w:rtl w:val="0"/>
              </w:rPr>
              <w:t>Naknade za prijevoz na službenom putu u zemlji</w:t>
            </w:r>
          </w:p>
        </w:tc>
        <w:tc>
          <w:tcPr>
            <w:tcW w:w="2175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  <w:tc>
          <w:tcPr>
            <w:tcW w:w="2205" w:type="dxa"/>
            <w:gridSpan w:val="2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45,00</w:t>
            </w:r>
          </w:p>
        </w:tc>
        <w:tc>
          <w:tcPr>
            <w:tcW w:w="21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45,00</w:t>
            </w:r>
          </w:p>
        </w:tc>
        <w:tc>
          <w:tcPr>
            <w:tcW w:w="930" w:type="dxa"/>
            <w:shd w:val="clear" w:color="auto" w:fill="auto"/>
            <w:vAlign w:val="top"/>
          </w:tcPr>
          <w:p>
            <w:pPr>
              <w:pStyle w:val="P27"/>
              <w:rPr>
                <w:rStyle w:val="C30"/>
                <w:rtl w:val="0"/>
              </w:rPr>
            </w:pPr>
            <w:r>
              <w:rPr>
                <w:rStyle w:val="C30"/>
                <w:rtl w:val="0"/>
              </w:rPr>
              <w:t>0,00</w:t>
            </w:r>
          </w:p>
        </w:tc>
      </w:tr>
    </w:tbl>
    <w:p>
      <w:pPr>
        <w:spacing w:lineRule="exact" w:line="15"/>
        <w:rPr>
          <w:rtl w:val="0"/>
        </w:rPr>
      </w:pPr>
    </w:p>
    <w:sectPr>
      <w:headerReference xmlns:r="http://schemas.openxmlformats.org/officeDocument/2006/relationships" w:type="default" r:id="RelHdr7"/>
      <w:footerReference xmlns:r="http://schemas.openxmlformats.org/officeDocument/2006/relationships" w:type="default" r:id="RelFtr7"/>
      <w:type w:val="nextPage"/>
      <w:pgSz w:w="16833" w:h="11908" w:orient="landscape"/>
      <w:pgMar w:left="566" w:right="396" w:top="396" w:bottom="396" w:header="0" w:footer="0" w:gutter="0"/>
      <w:formProt w:val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rPr>
        <w:rStyle w:val="C3"/>
      </w:rPr>
    </w:pPr>
  </w:p>
</w:ftr>
</file>

<file path=word/footer2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rPr>
        <w:rStyle w:val="C3"/>
      </w:rPr>
    </w:pPr>
  </w:p>
</w:ftr>
</file>

<file path=word/footer3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rPr>
        <w:rStyle w:val="C3"/>
      </w:rPr>
    </w:pPr>
  </w:p>
</w:ftr>
</file>

<file path=word/footer4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rPr>
        <w:rStyle w:val="C3"/>
      </w:rPr>
    </w:pPr>
  </w:p>
</w:ftr>
</file>

<file path=word/footer5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rPr>
        <w:rStyle w:val="C3"/>
      </w:rPr>
    </w:pPr>
  </w:p>
</w:ftr>
</file>

<file path=word/footer6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rPr>
        <w:rStyle w:val="C3"/>
      </w:rPr>
    </w:pPr>
  </w:p>
</w:ftr>
</file>

<file path=word/footer7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rPr>
        <w:rStyle w:val="C3"/>
      </w:rPr>
    </w:pP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rPr>
        <w:rStyle w:val="C3"/>
      </w:rPr>
    </w:pPr>
  </w:p>
</w:hdr>
</file>

<file path=word/header2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rPr>
        <w:rStyle w:val="C3"/>
      </w:rPr>
    </w:pPr>
  </w:p>
</w:hdr>
</file>

<file path=word/header3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rPr>
        <w:rStyle w:val="C3"/>
      </w:rPr>
    </w:pPr>
  </w:p>
</w:hdr>
</file>

<file path=word/header4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rPr>
        <w:rStyle w:val="C3"/>
      </w:rPr>
    </w:pPr>
  </w:p>
</w:hdr>
</file>

<file path=word/header5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rPr>
        <w:rStyle w:val="C3"/>
      </w:rPr>
    </w:pPr>
  </w:p>
</w:hdr>
</file>

<file path=word/header6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rPr>
        <w:rStyle w:val="C3"/>
      </w:rPr>
    </w:pPr>
  </w:p>
</w:hdr>
</file>

<file path=word/header7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rPr>
        <w:rStyle w:val="C3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bidi w:val="0"/>
      <w:spacing w:before="0" w:after="0"/>
      <w:ind w:left="28" w:right="28"/>
      <w:jc w:val="center"/>
    </w:pPr>
  </w:style>
  <w:style w:type="paragraph" w:styleId="P2">
    <w:name w:val="ParagraphStyle1"/>
    <w:hidden/>
    <w:pPr>
      <w:bidi w:val="0"/>
      <w:spacing w:before="0" w:after="0"/>
      <w:ind w:left="28" w:right="28"/>
      <w:jc w:val="center"/>
    </w:pPr>
  </w:style>
  <w:style w:type="paragraph" w:styleId="P3">
    <w:name w:val="ParagraphStyle2"/>
    <w:hidden/>
    <w:pPr>
      <w:bidi w:val="0"/>
      <w:spacing w:before="0" w:after="0"/>
      <w:ind w:left="0" w:right="0"/>
      <w:jc w:val="left"/>
    </w:pPr>
  </w:style>
  <w:style w:type="paragraph" w:styleId="P4">
    <w:name w:val="ParagraphStyle3"/>
    <w:hidden/>
    <w:pPr>
      <w:bidi w:val="0"/>
      <w:spacing w:before="0" w:after="0"/>
      <w:ind w:left="0" w:right="0"/>
      <w:jc w:val="right"/>
    </w:pPr>
  </w:style>
  <w:style w:type="paragraph" w:styleId="P5">
    <w:name w:val="ParagraphStyle4"/>
    <w:hidden/>
    <w:pPr>
      <w:bidi w:val="0"/>
      <w:spacing w:before="22" w:after="22"/>
      <w:ind w:left="22" w:right="22"/>
      <w:jc w:val="left"/>
    </w:pPr>
  </w:style>
  <w:style w:type="paragraph" w:styleId="P6">
    <w:name w:val="ParagraphStyle5"/>
    <w:hidden/>
    <w:pPr>
      <w:bidi w:val="0"/>
      <w:spacing w:before="22" w:after="22"/>
      <w:ind w:left="22" w:right="22"/>
      <w:jc w:val="right"/>
    </w:pPr>
  </w:style>
  <w:style w:type="paragraph" w:styleId="P7">
    <w:name w:val="ParagraphStyle6"/>
    <w:hidden/>
    <w:pPr>
      <w:bidi w:val="0"/>
      <w:spacing w:before="22" w:after="22"/>
      <w:ind w:left="22" w:right="22"/>
      <w:jc w:val="left"/>
    </w:pPr>
  </w:style>
  <w:style w:type="paragraph" w:styleId="P8">
    <w:name w:val="ParagraphStyle7"/>
    <w:hidden/>
    <w:pPr>
      <w:bidi w:val="0"/>
      <w:spacing w:before="22" w:after="22"/>
      <w:ind w:left="22" w:right="22"/>
      <w:jc w:val="right"/>
    </w:pPr>
  </w:style>
  <w:style w:type="paragraph" w:styleId="P9">
    <w:name w:val="ParagraphStyle8"/>
    <w:hidden/>
    <w:pPr>
      <w:bidi w:val="0"/>
      <w:spacing w:before="22" w:after="22"/>
      <w:ind w:left="22" w:right="22"/>
      <w:jc w:val="left"/>
    </w:pPr>
  </w:style>
  <w:style w:type="paragraph" w:styleId="P10">
    <w:name w:val="ParagraphStyle9"/>
    <w:hidden/>
    <w:pPr>
      <w:bidi w:val="0"/>
      <w:spacing w:before="22" w:after="22"/>
      <w:ind w:left="22" w:right="22"/>
      <w:jc w:val="right"/>
    </w:pPr>
  </w:style>
  <w:style w:type="paragraph" w:styleId="P11">
    <w:name w:val="ParagraphStyle10"/>
    <w:hidden/>
    <w:pPr>
      <w:bidi w:val="0"/>
      <w:spacing w:before="22" w:after="22"/>
      <w:ind w:left="22" w:right="22"/>
      <w:jc w:val="left"/>
    </w:pPr>
  </w:style>
  <w:style w:type="paragraph" w:styleId="P12">
    <w:name w:val="ParagraphStyle11"/>
    <w:hidden/>
    <w:pPr>
      <w:bidi w:val="0"/>
      <w:spacing w:before="22" w:after="22"/>
      <w:ind w:left="22" w:right="22"/>
      <w:jc w:val="right"/>
    </w:pPr>
  </w:style>
  <w:style w:type="paragraph" w:styleId="P13">
    <w:name w:val="ParagraphStyle12"/>
    <w:hidden/>
    <w:pPr>
      <w:bidi w:val="0"/>
      <w:spacing w:before="22" w:after="22"/>
      <w:ind w:left="22" w:right="22"/>
      <w:jc w:val="left"/>
    </w:pPr>
  </w:style>
  <w:style w:type="paragraph" w:styleId="P14">
    <w:name w:val="ParagraphStyle13"/>
    <w:hidden/>
    <w:pPr>
      <w:bidi w:val="0"/>
      <w:spacing w:before="22" w:after="22"/>
      <w:ind w:left="22" w:right="22"/>
      <w:jc w:val="right"/>
    </w:pPr>
  </w:style>
  <w:style w:type="paragraph" w:styleId="P15">
    <w:name w:val="ParagraphStyle14"/>
    <w:hidden/>
    <w:pPr>
      <w:bidi w:val="0"/>
      <w:spacing w:before="22" w:after="22"/>
      <w:ind w:left="22" w:right="22"/>
      <w:jc w:val="left"/>
    </w:pPr>
  </w:style>
  <w:style w:type="paragraph" w:styleId="P16">
    <w:name w:val="ParagraphStyle15"/>
    <w:hidden/>
    <w:pPr>
      <w:bidi w:val="0"/>
      <w:spacing w:before="22" w:after="22"/>
      <w:ind w:left="22" w:right="22"/>
      <w:jc w:val="right"/>
    </w:pPr>
  </w:style>
  <w:style w:type="paragraph" w:styleId="P17">
    <w:name w:val="ParagraphStyle16"/>
    <w:hidden/>
    <w:pPr>
      <w:bidi w:val="0"/>
      <w:spacing w:before="22" w:after="22"/>
      <w:ind w:left="22" w:right="22"/>
      <w:jc w:val="left"/>
    </w:pPr>
  </w:style>
  <w:style w:type="paragraph" w:styleId="P18">
    <w:name w:val="ParagraphStyle17"/>
    <w:hidden/>
    <w:pPr>
      <w:bidi w:val="0"/>
      <w:spacing w:before="22" w:after="22"/>
      <w:ind w:left="22" w:right="22"/>
      <w:jc w:val="right"/>
    </w:pPr>
  </w:style>
  <w:style w:type="paragraph" w:styleId="P19">
    <w:name w:val="ParagraphStyle18"/>
    <w:hidden/>
    <w:pPr>
      <w:bidi w:val="0"/>
      <w:spacing w:before="22" w:after="22"/>
      <w:ind w:left="22" w:right="22"/>
      <w:jc w:val="left"/>
    </w:pPr>
  </w:style>
  <w:style w:type="paragraph" w:styleId="P20">
    <w:name w:val="ParagraphStyle19"/>
    <w:hidden/>
    <w:pPr>
      <w:bidi w:val="0"/>
      <w:spacing w:before="22" w:after="22"/>
      <w:ind w:left="22" w:right="22"/>
      <w:jc w:val="left"/>
    </w:pPr>
  </w:style>
  <w:style w:type="paragraph" w:styleId="P21">
    <w:name w:val="ParagraphStyle20"/>
    <w:hidden/>
    <w:pPr>
      <w:bidi w:val="0"/>
      <w:spacing w:before="22" w:after="22"/>
      <w:ind w:left="22" w:right="22"/>
      <w:jc w:val="right"/>
    </w:pPr>
  </w:style>
  <w:style w:type="paragraph" w:styleId="P22">
    <w:name w:val="ParagraphStyle21"/>
    <w:hidden/>
    <w:pPr>
      <w:bidi w:val="0"/>
      <w:spacing w:before="22" w:after="22"/>
      <w:ind w:left="22" w:right="22"/>
      <w:jc w:val="left"/>
    </w:pPr>
  </w:style>
  <w:style w:type="paragraph" w:styleId="P23">
    <w:name w:val="ParagraphStyle22"/>
    <w:hidden/>
    <w:pPr>
      <w:bidi w:val="0"/>
      <w:spacing w:before="22" w:after="22"/>
      <w:ind w:left="22" w:right="22"/>
      <w:jc w:val="right"/>
    </w:pPr>
  </w:style>
  <w:style w:type="paragraph" w:styleId="P24">
    <w:name w:val="ParagraphStyle23"/>
    <w:hidden/>
    <w:pPr>
      <w:bidi w:val="0"/>
      <w:spacing w:before="22" w:after="22"/>
      <w:ind w:left="22" w:right="22"/>
      <w:jc w:val="left"/>
    </w:pPr>
  </w:style>
  <w:style w:type="paragraph" w:styleId="P25">
    <w:name w:val="ParagraphStyle24"/>
    <w:hidden/>
    <w:pPr>
      <w:bidi w:val="0"/>
      <w:spacing w:before="22" w:after="22"/>
      <w:ind w:left="22" w:right="22"/>
      <w:jc w:val="right"/>
    </w:pPr>
  </w:style>
  <w:style w:type="paragraph" w:styleId="P26">
    <w:name w:val="ParagraphStyle25"/>
    <w:hidden/>
    <w:pPr>
      <w:bidi w:val="0"/>
      <w:spacing w:before="22" w:after="22"/>
      <w:ind w:left="22" w:right="22"/>
      <w:jc w:val="left"/>
    </w:pPr>
  </w:style>
  <w:style w:type="paragraph" w:styleId="P27">
    <w:name w:val="ParagraphStyle26"/>
    <w:hidden/>
    <w:pPr>
      <w:bidi w:val="0"/>
      <w:spacing w:before="22" w:after="22"/>
      <w:ind w:left="22" w:right="22"/>
      <w:jc w:val="righ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5">
    <w:name w:val="CharacterStyle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6">
    <w:name w:val="CharacterStyle2"/>
    <w:hidden/>
    <w:rPr>
      <w:rFonts w:ascii="Calibri" w:cs="Calibri" w:hAnsi="Calibri" w:eastAsia="Calibri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7">
    <w:name w:val="CharacterStyle3"/>
    <w:hidden/>
    <w:rPr>
      <w:rFonts w:ascii="Calibri" w:cs="Calibri" w:hAnsi="Calibri" w:eastAsia="Calibri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8">
    <w:name w:val="CharacterStyle4"/>
    <w:hidden/>
    <w:rPr>
      <w:rFonts w:ascii="Calibri" w:cs="Calibri" w:hAnsi="Calibri" w:eastAsia="Calibri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9">
    <w:name w:val="CharacterStyle5"/>
    <w:hidden/>
    <w:rPr>
      <w:rFonts w:ascii="Calibri" w:cs="Calibri" w:hAnsi="Calibri" w:eastAsia="Calibri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0">
    <w:name w:val="CharacterStyle6"/>
    <w:hidden/>
    <w:rPr>
      <w:rFonts w:ascii="Calibri" w:cs="Calibri" w:hAnsi="Calibri" w:eastAsia="Calibri"/>
      <w:b w:val="1"/>
      <w:i w:val="0"/>
      <w:strike w:val="0"/>
      <w:noProof w:val="1"/>
      <w:color w:val="FFFFFF"/>
      <w:sz w:val="24"/>
      <w:szCs w:val="24"/>
      <w:u w:val="none"/>
    </w:rPr>
  </w:style>
  <w:style w:type="character" w:styleId="C11">
    <w:name w:val="CharacterStyle7"/>
    <w:hidden/>
    <w:rPr>
      <w:rFonts w:ascii="Calibri" w:cs="Calibri" w:hAnsi="Calibri" w:eastAsia="Calibri"/>
      <w:b w:val="1"/>
      <w:i w:val="0"/>
      <w:strike w:val="0"/>
      <w:noProof w:val="1"/>
      <w:color w:val="FFFFFF"/>
      <w:sz w:val="24"/>
      <w:szCs w:val="24"/>
      <w:u w:val="none"/>
    </w:rPr>
  </w:style>
  <w:style w:type="character" w:styleId="C12">
    <w:name w:val="CharacterStyle8"/>
    <w:hidden/>
    <w:rPr>
      <w:rFonts w:ascii="Calibri" w:cs="Calibri" w:hAnsi="Calibri" w:eastAsia="Calibri"/>
      <w:b w:val="1"/>
      <w:i w:val="0"/>
      <w:strike w:val="0"/>
      <w:noProof w:val="1"/>
      <w:color w:val="FFFFFF"/>
      <w:sz w:val="22"/>
      <w:szCs w:val="22"/>
      <w:u w:val="none"/>
    </w:rPr>
  </w:style>
  <w:style w:type="character" w:styleId="C13">
    <w:name w:val="CharacterStyle9"/>
    <w:hidden/>
    <w:rPr>
      <w:rFonts w:ascii="Calibri" w:cs="Calibri" w:hAnsi="Calibri" w:eastAsia="Calibri"/>
      <w:b w:val="1"/>
      <w:i w:val="0"/>
      <w:strike w:val="0"/>
      <w:noProof w:val="1"/>
      <w:color w:val="FFFFFF"/>
      <w:sz w:val="22"/>
      <w:szCs w:val="22"/>
      <w:u w:val="none"/>
    </w:rPr>
  </w:style>
  <w:style w:type="character" w:styleId="C14">
    <w:name w:val="CharacterStyle10"/>
    <w:hidden/>
    <w:rPr>
      <w:rFonts w:ascii="Calibri" w:cs="Calibri" w:hAnsi="Calibri" w:eastAsia="Calibri"/>
      <w:b w:val="1"/>
      <w:i w:val="0"/>
      <w:strike w:val="0"/>
      <w:noProof w:val="1"/>
      <w:color w:val="000000"/>
      <w:sz w:val="18"/>
      <w:szCs w:val="18"/>
      <w:u w:val="none"/>
    </w:rPr>
  </w:style>
  <w:style w:type="character" w:styleId="C15">
    <w:name w:val="CharacterStyle11"/>
    <w:hidden/>
    <w:rPr>
      <w:rFonts w:ascii="Calibri" w:cs="Calibri" w:hAnsi="Calibri" w:eastAsia="Calibri"/>
      <w:b w:val="1"/>
      <w:i w:val="0"/>
      <w:strike w:val="0"/>
      <w:noProof w:val="1"/>
      <w:color w:val="000000"/>
      <w:sz w:val="18"/>
      <w:szCs w:val="18"/>
      <w:u w:val="none"/>
    </w:rPr>
  </w:style>
  <w:style w:type="character" w:styleId="C16">
    <w:name w:val="CharacterStyle12"/>
    <w:hidden/>
    <w:rPr>
      <w:rFonts w:ascii="Calibri" w:cs="Calibri" w:hAnsi="Calibri" w:eastAsia="Calibri"/>
      <w:b w:val="1"/>
      <w:i w:val="0"/>
      <w:strike w:val="0"/>
      <w:noProof w:val="1"/>
      <w:color w:val="000000"/>
      <w:sz w:val="18"/>
      <w:szCs w:val="18"/>
      <w:u w:val="none"/>
    </w:rPr>
  </w:style>
  <w:style w:type="character" w:styleId="C17">
    <w:name w:val="CharacterStyle13"/>
    <w:hidden/>
    <w:rPr>
      <w:rFonts w:ascii="Calibri" w:cs="Calibri" w:hAnsi="Calibri" w:eastAsia="Calibri"/>
      <w:b w:val="1"/>
      <w:i w:val="0"/>
      <w:strike w:val="0"/>
      <w:noProof w:val="1"/>
      <w:color w:val="000000"/>
      <w:sz w:val="18"/>
      <w:szCs w:val="18"/>
      <w:u w:val="none"/>
    </w:rPr>
  </w:style>
  <w:style w:type="character" w:styleId="C18">
    <w:name w:val="CharacterStyle14"/>
    <w:hidden/>
    <w:rPr>
      <w:rFonts w:ascii="Calibri" w:cs="Calibri" w:hAnsi="Calibri" w:eastAsia="Calibri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Calibri" w:cs="Calibri" w:hAnsi="Calibri" w:eastAsia="Calibri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Calibri" w:cs="Calibri" w:hAnsi="Calibri" w:eastAsia="Calibri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1">
    <w:name w:val="CharacterStyle17"/>
    <w:hidden/>
    <w:rPr>
      <w:rFonts w:ascii="Calibri" w:cs="Calibri" w:hAnsi="Calibri" w:eastAsia="Calibri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2">
    <w:name w:val="CharacterStyle18"/>
    <w:hidden/>
    <w:rPr>
      <w:rFonts w:ascii="Calibri" w:cs="Calibri" w:hAnsi="Calibri" w:eastAsia="Calibri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Calibri" w:cs="Calibri" w:hAnsi="Calibri" w:eastAsia="Calibri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Calibri" w:cs="Calibri" w:hAnsi="Calibri" w:eastAsia="Calibri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Calibri" w:cs="Calibri" w:hAnsi="Calibri" w:eastAsia="Calibri"/>
      <w:b w:val="1"/>
      <w:i w:val="0"/>
      <w:strike w:val="0"/>
      <w:noProof w:val="1"/>
      <w:color w:val="000000"/>
      <w:sz w:val="18"/>
      <w:szCs w:val="18"/>
      <w:u w:val="none"/>
    </w:rPr>
  </w:style>
  <w:style w:type="character" w:styleId="C26">
    <w:name w:val="CharacterStyle22"/>
    <w:hidden/>
    <w:rPr>
      <w:rFonts w:ascii="Calibri" w:cs="Calibri" w:hAnsi="Calibri" w:eastAsia="Calibri"/>
      <w:b w:val="1"/>
      <w:i w:val="0"/>
      <w:strike w:val="0"/>
      <w:noProof w:val="1"/>
      <w:color w:val="000000"/>
      <w:sz w:val="18"/>
      <w:szCs w:val="18"/>
      <w:u w:val="none"/>
    </w:rPr>
  </w:style>
  <w:style w:type="character" w:styleId="C27">
    <w:name w:val="CharacterStyle23"/>
    <w:hidden/>
    <w:rPr>
      <w:rFonts w:ascii="Calibri" w:cs="Calibri" w:hAnsi="Calibri" w:eastAsia="Calibri"/>
      <w:b w:val="1"/>
      <w:i w:val="0"/>
      <w:strike w:val="0"/>
      <w:noProof w:val="1"/>
      <w:color w:val="000000"/>
      <w:sz w:val="18"/>
      <w:szCs w:val="18"/>
      <w:u w:val="none"/>
    </w:rPr>
  </w:style>
  <w:style w:type="character" w:styleId="C28">
    <w:name w:val="CharacterStyle24"/>
    <w:hidden/>
    <w:rPr>
      <w:rFonts w:ascii="Calibri" w:cs="Calibri" w:hAnsi="Calibri" w:eastAsia="Calibri"/>
      <w:b w:val="1"/>
      <w:i w:val="0"/>
      <w:strike w:val="0"/>
      <w:noProof w:val="1"/>
      <w:color w:val="000000"/>
      <w:sz w:val="18"/>
      <w:szCs w:val="18"/>
      <w:u w:val="none"/>
    </w:rPr>
  </w:style>
  <w:style w:type="character" w:styleId="C29">
    <w:name w:val="CharacterStyle25"/>
    <w:hidden/>
    <w:rPr>
      <w:rFonts w:ascii="Calibri" w:cs="Calibri" w:hAnsi="Calibri" w:eastAsia="Calibri"/>
      <w:b w:val="0"/>
      <w:i w:val="0"/>
      <w:strike w:val="0"/>
      <w:noProof w:val="1"/>
      <w:color w:val="000000"/>
      <w:sz w:val="18"/>
      <w:szCs w:val="18"/>
      <w:u w:val="none"/>
    </w:rPr>
  </w:style>
  <w:style w:type="character" w:styleId="C30">
    <w:name w:val="CharacterStyle26"/>
    <w:hidden/>
    <w:rPr>
      <w:rFonts w:ascii="Calibri" w:cs="Calibri" w:hAnsi="Calibri" w:eastAsia="Calibri"/>
      <w:b w:val="0"/>
      <w:i w:val="0"/>
      <w:strike w:val="0"/>
      <w:noProof w:val="1"/>
      <w:color w:val="000000"/>
      <w:sz w:val="18"/>
      <w:szCs w:val="18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Hdr1" Type="http://schemas.openxmlformats.org/officeDocument/2006/relationships/header" Target="header1.xml" /><Relationship Id="RelHdr2" Type="http://schemas.openxmlformats.org/officeDocument/2006/relationships/header" Target="header2.xml" /><Relationship Id="RelHdr3" Type="http://schemas.openxmlformats.org/officeDocument/2006/relationships/header" Target="header3.xml" /><Relationship Id="RelHdr4" Type="http://schemas.openxmlformats.org/officeDocument/2006/relationships/header" Target="header4.xml" /><Relationship Id="RelHdr5" Type="http://schemas.openxmlformats.org/officeDocument/2006/relationships/header" Target="header5.xml" /><Relationship Id="RelHdr6" Type="http://schemas.openxmlformats.org/officeDocument/2006/relationships/header" Target="header6.xml" /><Relationship Id="RelHdr7" Type="http://schemas.openxmlformats.org/officeDocument/2006/relationships/header" Target="header7.xml" /><Relationship Id="RelFtr1" Type="http://schemas.openxmlformats.org/officeDocument/2006/relationships/footer" Target="footer1.xml" /><Relationship Id="RelFtr2" Type="http://schemas.openxmlformats.org/officeDocument/2006/relationships/footer" Target="footer2.xml" /><Relationship Id="RelFtr3" Type="http://schemas.openxmlformats.org/officeDocument/2006/relationships/footer" Target="footer3.xml" /><Relationship Id="RelFtr4" Type="http://schemas.openxmlformats.org/officeDocument/2006/relationships/footer" Target="footer4.xml" /><Relationship Id="RelFtr5" Type="http://schemas.openxmlformats.org/officeDocument/2006/relationships/footer" Target="footer5.xml" /><Relationship Id="RelFtr6" Type="http://schemas.openxmlformats.org/officeDocument/2006/relationships/footer" Target="footer6.xml" /><Relationship Id="RelFtr7" Type="http://schemas.openxmlformats.org/officeDocument/2006/relationships/footer" Target="footer7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22.2.5.0</vt:lpwstr>
  </property>
</Properties>
</file>