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E96B17" Type="http://schemas.openxmlformats.org/officeDocument/2006/relationships/officeDocument" Target="/word/document.xml" /><Relationship Id="coreR19E96B17" Type="http://schemas.openxmlformats.org/package/2006/relationships/metadata/core-properties" Target="/docProps/core.xml" /><Relationship Id="customR19E96B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tbl>
      <w:tblPr>
        <w:bidiVisual w:val="0"/>
        <w:tblLayout w:type="fixed"/>
        <w:tblCellMar>
          <w:left w:w="0" w:type="dxa"/>
          <w:right w:w="0" w:type="dxa"/>
        </w:tblCellMar>
      </w:tblPr>
      <w:tblGrid>
        <w:gridCol w:w="1500"/>
        <w:gridCol w:w="1065"/>
        <w:gridCol w:w="5865"/>
        <w:gridCol w:w="2175"/>
        <w:gridCol w:w="2175"/>
        <w:gridCol w:w="30"/>
        <w:gridCol w:w="2130"/>
        <w:gridCol w:w="930"/>
      </w:tblGrid>
      <w:tr>
        <w:trPr>
          <w:trHeight w:hRule="atLeast" w:val="255"/>
        </w:trPr>
        <w:tc>
          <w:tcPr>
            <w:tcW w:w="15870" w:type="dxa"/>
            <w:gridSpan w:val="8"/>
            <w:shd w:val="clear" w:color="auto" w:fill="auto"/>
            <w:vAlign w:val="top"/>
          </w:tcPr>
          <w:p>
            <w:pPr>
              <w:pStyle w:val="P1"/>
              <w:rPr>
                <w:rStyle w:val="C4"/>
                <w:rtl w:val="0"/>
              </w:rPr>
            </w:pPr>
            <w:r>
              <w:rPr>
                <w:rStyle w:val="C4"/>
                <w:rtl w:val="0"/>
              </w:rPr>
              <w:t>REBALANS</w:t>
            </w:r>
          </w:p>
        </w:tc>
      </w:tr>
      <w:tr>
        <w:trPr>
          <w:trHeight w:hRule="atLeast" w:val="255"/>
        </w:trPr>
        <w:tc>
          <w:tcPr>
            <w:tcW w:w="15870" w:type="dxa"/>
            <w:gridSpan w:val="8"/>
            <w:shd w:val="clear" w:color="auto" w:fill="auto"/>
            <w:vAlign w:val="top"/>
          </w:tcPr>
          <w:p>
            <w:pPr>
              <w:pStyle w:val="P2"/>
              <w:rPr>
                <w:rStyle w:val="C5"/>
                <w:rtl w:val="0"/>
              </w:rPr>
            </w:pPr>
            <w:r>
              <w:rPr>
                <w:rStyle w:val="C5"/>
                <w:rtl w:val="0"/>
              </w:rPr>
              <w:t>za razdoblje od 1.1.2025 do 31.12.2025</w:t>
            </w:r>
          </w:p>
        </w:tc>
      </w:tr>
      <w:tr>
        <w:trPr>
          <w:trHeight w:hRule="atLeast" w:val="390"/>
        </w:trPr>
        <w:tc>
          <w:tcPr>
            <w:tcW w:w="2565" w:type="dxa"/>
            <w:gridSpan w:val="2"/>
            <w:tcBorders>
              <w:top w:val="single" w:sz="12" w:space="0" w:shadow="0" w:frame="0" w:color="000000"/>
              <w:bottom w:val="single" w:sz="12" w:space="0" w:shadow="0" w:frame="0" w:color="000000"/>
            </w:tcBorders>
            <w:shd w:val="clear" w:color="auto" w:fill="auto"/>
            <w:vAlign w:val="top"/>
          </w:tcPr>
          <w:p>
            <w:pPr>
              <w:pStyle w:val="P3"/>
              <w:rPr>
                <w:rStyle w:val="C6"/>
                <w:rtl w:val="0"/>
              </w:rPr>
            </w:pPr>
          </w:p>
        </w:tc>
        <w:tc>
          <w:tcPr>
            <w:tcW w:w="5865" w:type="dxa"/>
            <w:tcBorders>
              <w:top w:val="single" w:sz="12" w:space="0" w:shadow="0" w:frame="0" w:color="000000"/>
              <w:bottom w:val="single" w:sz="12" w:space="0" w:shadow="0" w:frame="0" w:color="000000"/>
            </w:tcBorders>
            <w:shd w:val="clear" w:color="auto" w:fill="auto"/>
            <w:vAlign w:val="top"/>
          </w:tcPr>
          <w:p>
            <w:pPr>
              <w:pStyle w:val="P3"/>
              <w:rPr>
                <w:rStyle w:val="C6"/>
                <w:rtl w:val="0"/>
              </w:rPr>
            </w:pPr>
            <w:r>
              <w:rPr>
                <w:rStyle w:val="C6"/>
                <w:rtl w:val="0"/>
              </w:rPr>
              <w:t>SVEUKUPNO</w:t>
            </w:r>
          </w:p>
        </w:tc>
        <w:tc>
          <w:tcPr>
            <w:tcW w:w="2175" w:type="dxa"/>
            <w:tcBorders>
              <w:top w:val="single" w:sz="12" w:space="0" w:shadow="0" w:frame="0" w:color="000000"/>
              <w:bottom w:val="single" w:sz="12" w:space="0" w:shadow="0" w:frame="0" w:color="000000"/>
            </w:tcBorders>
            <w:shd w:val="clear" w:color="auto" w:fill="auto"/>
            <w:vAlign w:val="top"/>
          </w:tcPr>
          <w:p>
            <w:pPr>
              <w:pStyle w:val="P4"/>
              <w:rPr>
                <w:rStyle w:val="C7"/>
                <w:rtl w:val="0"/>
              </w:rPr>
            </w:pPr>
            <w:r>
              <w:rPr>
                <w:rStyle w:val="C7"/>
                <w:rtl w:val="0"/>
              </w:rPr>
              <w:t>747.402,00</w:t>
            </w:r>
          </w:p>
        </w:tc>
        <w:tc>
          <w:tcPr>
            <w:tcW w:w="2205" w:type="dxa"/>
            <w:gridSpan w:val="2"/>
            <w:tcBorders>
              <w:top w:val="single" w:sz="12" w:space="0" w:shadow="0" w:frame="0" w:color="000000"/>
              <w:bottom w:val="single" w:sz="12" w:space="0" w:shadow="0" w:frame="0" w:color="000000"/>
            </w:tcBorders>
            <w:shd w:val="clear" w:color="auto" w:fill="auto"/>
            <w:vAlign w:val="top"/>
          </w:tcPr>
          <w:p>
            <w:pPr>
              <w:pStyle w:val="P4"/>
              <w:rPr>
                <w:rStyle w:val="C7"/>
                <w:rtl w:val="0"/>
              </w:rPr>
            </w:pPr>
            <w:r>
              <w:rPr>
                <w:rStyle w:val="C7"/>
                <w:rtl w:val="0"/>
              </w:rPr>
              <w:t>114.628,42</w:t>
            </w:r>
          </w:p>
        </w:tc>
        <w:tc>
          <w:tcPr>
            <w:tcW w:w="2130" w:type="dxa"/>
            <w:tcBorders>
              <w:top w:val="single" w:sz="12" w:space="0" w:shadow="0" w:frame="0" w:color="000000"/>
              <w:bottom w:val="single" w:sz="12" w:space="0" w:shadow="0" w:frame="0" w:color="000000"/>
            </w:tcBorders>
            <w:shd w:val="clear" w:color="auto" w:fill="auto"/>
            <w:vAlign w:val="top"/>
          </w:tcPr>
          <w:p>
            <w:pPr>
              <w:pStyle w:val="P4"/>
              <w:rPr>
                <w:rStyle w:val="C7"/>
                <w:rtl w:val="0"/>
              </w:rPr>
            </w:pPr>
            <w:r>
              <w:rPr>
                <w:rStyle w:val="C7"/>
                <w:rtl w:val="0"/>
              </w:rPr>
              <w:t>862.030,42</w:t>
            </w:r>
          </w:p>
        </w:tc>
        <w:tc>
          <w:tcPr>
            <w:tcW w:w="930" w:type="dxa"/>
            <w:tcBorders>
              <w:top w:val="single" w:sz="12" w:space="0" w:shadow="0" w:frame="0" w:color="000000"/>
              <w:bottom w:val="single" w:sz="12" w:space="0" w:shadow="0" w:frame="0" w:color="000000"/>
            </w:tcBorders>
            <w:shd w:val="clear" w:color="auto" w:fill="auto"/>
            <w:vAlign w:val="top"/>
          </w:tcPr>
          <w:p>
            <w:pPr>
              <w:pStyle w:val="P4"/>
              <w:rPr>
                <w:rStyle w:val="C7"/>
                <w:rtl w:val="0"/>
              </w:rPr>
            </w:pPr>
            <w:r>
              <w:rPr>
                <w:rStyle w:val="C7"/>
                <w:rtl w:val="0"/>
              </w:rPr>
              <w:t>15,34</w:t>
            </w:r>
          </w:p>
        </w:tc>
      </w:tr>
      <w:tr>
        <w:trPr>
          <w:trHeight w:hRule="atLeast" w:val="360"/>
        </w:trPr>
        <w:tc>
          <w:tcPr>
            <w:tcW w:w="2565" w:type="dxa"/>
            <w:gridSpan w:val="2"/>
            <w:tcBorders>
              <w:bottom w:val="single" w:sz="12" w:space="0" w:shadow="0" w:frame="0" w:color="000000"/>
            </w:tcBorders>
            <w:shd w:val="clear" w:color="auto" w:fill="auto"/>
            <w:vAlign w:val="top"/>
          </w:tcPr>
          <w:p>
            <w:pPr>
              <w:pStyle w:val="P5"/>
              <w:rPr>
                <w:rStyle w:val="C8"/>
                <w:rtl w:val="0"/>
              </w:rPr>
            </w:pPr>
            <w:r>
              <w:rPr>
                <w:rStyle w:val="C8"/>
                <w:rtl w:val="0"/>
              </w:rPr>
              <w:t>Šifra</w:t>
            </w:r>
          </w:p>
        </w:tc>
        <w:tc>
          <w:tcPr>
            <w:tcW w:w="5865" w:type="dxa"/>
            <w:tcBorders>
              <w:bottom w:val="single" w:sz="12" w:space="0" w:shadow="0" w:frame="0" w:color="000000"/>
            </w:tcBorders>
            <w:shd w:val="clear" w:color="auto" w:fill="auto"/>
            <w:vAlign w:val="top"/>
          </w:tcPr>
          <w:p>
            <w:pPr>
              <w:pStyle w:val="P5"/>
              <w:rPr>
                <w:rStyle w:val="C8"/>
                <w:rtl w:val="0"/>
              </w:rPr>
            </w:pPr>
            <w:r>
              <w:rPr>
                <w:rStyle w:val="C8"/>
                <w:rtl w:val="0"/>
              </w:rPr>
              <w:t>Naziv</w:t>
            </w:r>
          </w:p>
        </w:tc>
        <w:tc>
          <w:tcPr>
            <w:tcW w:w="2175" w:type="dxa"/>
            <w:tcBorders>
              <w:bottom w:val="single" w:sz="12" w:space="0" w:shadow="0" w:frame="0" w:color="000000"/>
            </w:tcBorders>
            <w:shd w:val="clear" w:color="auto" w:fill="auto"/>
            <w:vAlign w:val="top"/>
          </w:tcPr>
          <w:p>
            <w:pPr>
              <w:pStyle w:val="P6"/>
              <w:rPr>
                <w:rStyle w:val="C9"/>
                <w:rtl w:val="0"/>
              </w:rPr>
            </w:pPr>
            <w:r>
              <w:rPr>
                <w:rStyle w:val="C9"/>
                <w:rtl w:val="0"/>
              </w:rPr>
              <w:t>Planirano</w:t>
            </w:r>
          </w:p>
        </w:tc>
        <w:tc>
          <w:tcPr>
            <w:tcW w:w="2205" w:type="dxa"/>
            <w:gridSpan w:val="2"/>
            <w:tcBorders>
              <w:bottom w:val="single" w:sz="12" w:space="0" w:shadow="0" w:frame="0" w:color="000000"/>
            </w:tcBorders>
            <w:shd w:val="clear" w:color="auto" w:fill="auto"/>
            <w:vAlign w:val="top"/>
          </w:tcPr>
          <w:p>
            <w:pPr>
              <w:pStyle w:val="P6"/>
              <w:rPr>
                <w:rStyle w:val="C9"/>
                <w:rtl w:val="0"/>
              </w:rPr>
            </w:pPr>
            <w:r>
              <w:rPr>
                <w:rStyle w:val="C9"/>
                <w:rtl w:val="0"/>
              </w:rPr>
              <w:t>Povećanje/smanjenje</w:t>
            </w:r>
          </w:p>
        </w:tc>
        <w:tc>
          <w:tcPr>
            <w:tcW w:w="2130" w:type="dxa"/>
            <w:tcBorders>
              <w:bottom w:val="single" w:sz="12" w:space="0" w:shadow="0" w:frame="0" w:color="000000"/>
            </w:tcBorders>
            <w:shd w:val="clear" w:color="auto" w:fill="auto"/>
            <w:vAlign w:val="top"/>
          </w:tcPr>
          <w:p>
            <w:pPr>
              <w:pStyle w:val="P6"/>
              <w:rPr>
                <w:rStyle w:val="C9"/>
                <w:rtl w:val="0"/>
              </w:rPr>
            </w:pPr>
            <w:r>
              <w:rPr>
                <w:rStyle w:val="C9"/>
                <w:rtl w:val="0"/>
              </w:rPr>
              <w:t>Novi plan</w:t>
            </w:r>
          </w:p>
        </w:tc>
        <w:tc>
          <w:tcPr>
            <w:tcW w:w="930" w:type="dxa"/>
            <w:tcBorders>
              <w:bottom w:val="single" w:sz="12" w:space="0" w:shadow="0" w:frame="0" w:color="000000"/>
            </w:tcBorders>
            <w:shd w:val="clear" w:color="auto" w:fill="auto"/>
            <w:vAlign w:val="top"/>
          </w:tcPr>
          <w:p>
            <w:pPr>
              <w:pStyle w:val="P6"/>
              <w:rPr>
                <w:rStyle w:val="C9"/>
                <w:rtl w:val="0"/>
              </w:rPr>
            </w:pPr>
            <w:r>
              <w:rPr>
                <w:rStyle w:val="C9"/>
                <w:rtl w:val="0"/>
              </w:rPr>
              <w:t>Index</w:t>
            </w:r>
          </w:p>
        </w:tc>
      </w:tr>
      <w:tr>
        <w:trPr>
          <w:trHeight w:hRule="atLeast" w:val="375"/>
        </w:trPr>
        <w:tc>
          <w:tcPr>
            <w:tcW w:w="1500" w:type="dxa"/>
            <w:shd w:val="clear" w:color="auto" w:fill="283593"/>
            <w:vAlign w:val="top"/>
          </w:tcPr>
          <w:p>
            <w:pPr>
              <w:pStyle w:val="P7"/>
              <w:rPr>
                <w:rStyle w:val="C10"/>
                <w:rtl w:val="0"/>
              </w:rPr>
            </w:pPr>
            <w:r>
              <w:rPr>
                <w:rStyle w:val="C10"/>
                <w:rtl w:val="0"/>
              </w:rPr>
              <w:t>RAZDJEL</w:t>
            </w:r>
          </w:p>
        </w:tc>
        <w:tc>
          <w:tcPr>
            <w:tcW w:w="1065" w:type="dxa"/>
            <w:shd w:val="clear" w:color="auto" w:fill="283593"/>
            <w:vAlign w:val="top"/>
          </w:tcPr>
          <w:p>
            <w:pPr>
              <w:pStyle w:val="P7"/>
              <w:rPr>
                <w:rStyle w:val="C10"/>
                <w:rtl w:val="0"/>
              </w:rPr>
            </w:pPr>
            <w:r>
              <w:rPr>
                <w:rStyle w:val="C10"/>
                <w:rtl w:val="0"/>
              </w:rPr>
              <w:t>000</w:t>
            </w:r>
          </w:p>
        </w:tc>
        <w:tc>
          <w:tcPr>
            <w:tcW w:w="5865" w:type="dxa"/>
            <w:shd w:val="clear" w:color="auto" w:fill="283593"/>
            <w:vAlign w:val="top"/>
          </w:tcPr>
          <w:p>
            <w:pPr>
              <w:pStyle w:val="P7"/>
              <w:rPr>
                <w:rStyle w:val="C10"/>
                <w:rtl w:val="0"/>
              </w:rPr>
            </w:pPr>
          </w:p>
        </w:tc>
        <w:tc>
          <w:tcPr>
            <w:tcW w:w="2175" w:type="dxa"/>
            <w:shd w:val="clear" w:color="auto" w:fill="283593"/>
            <w:vAlign w:val="top"/>
          </w:tcPr>
          <w:p>
            <w:pPr>
              <w:pStyle w:val="P8"/>
              <w:rPr>
                <w:rStyle w:val="C11"/>
                <w:rtl w:val="0"/>
              </w:rPr>
            </w:pPr>
            <w:r>
              <w:rPr>
                <w:rStyle w:val="C11"/>
                <w:rtl w:val="0"/>
              </w:rPr>
              <w:t>747.402,00</w:t>
            </w:r>
          </w:p>
        </w:tc>
        <w:tc>
          <w:tcPr>
            <w:tcW w:w="2205" w:type="dxa"/>
            <w:gridSpan w:val="2"/>
            <w:shd w:val="clear" w:color="auto" w:fill="283593"/>
            <w:vAlign w:val="top"/>
          </w:tcPr>
          <w:p>
            <w:pPr>
              <w:pStyle w:val="P8"/>
              <w:rPr>
                <w:rStyle w:val="C11"/>
                <w:rtl w:val="0"/>
              </w:rPr>
            </w:pPr>
            <w:r>
              <w:rPr>
                <w:rStyle w:val="C11"/>
                <w:rtl w:val="0"/>
              </w:rPr>
              <w:t>114.628,42</w:t>
            </w:r>
          </w:p>
        </w:tc>
        <w:tc>
          <w:tcPr>
            <w:tcW w:w="2130" w:type="dxa"/>
            <w:shd w:val="clear" w:color="auto" w:fill="283593"/>
            <w:vAlign w:val="top"/>
          </w:tcPr>
          <w:p>
            <w:pPr>
              <w:pStyle w:val="P8"/>
              <w:rPr>
                <w:rStyle w:val="C11"/>
                <w:rtl w:val="0"/>
              </w:rPr>
            </w:pPr>
            <w:r>
              <w:rPr>
                <w:rStyle w:val="C11"/>
                <w:rtl w:val="0"/>
              </w:rPr>
              <w:t>862.030,42</w:t>
            </w:r>
          </w:p>
        </w:tc>
        <w:tc>
          <w:tcPr>
            <w:tcW w:w="930" w:type="dxa"/>
            <w:shd w:val="clear" w:color="auto" w:fill="283593"/>
            <w:vAlign w:val="top"/>
          </w:tcPr>
          <w:p>
            <w:pPr>
              <w:pStyle w:val="P8"/>
              <w:rPr>
                <w:rStyle w:val="C11"/>
                <w:rtl w:val="0"/>
              </w:rPr>
            </w:pPr>
            <w:r>
              <w:rPr>
                <w:rStyle w:val="C11"/>
                <w:rtl w:val="0"/>
              </w:rPr>
              <w:t>15,34</w:t>
            </w:r>
          </w:p>
        </w:tc>
      </w:tr>
      <w:tr>
        <w:trPr>
          <w:trHeight w:hRule="atLeast" w:val="345"/>
        </w:trPr>
        <w:tc>
          <w:tcPr>
            <w:tcW w:w="1500" w:type="dxa"/>
            <w:shd w:val="clear" w:color="auto" w:fill="1976D2"/>
            <w:vAlign w:val="top"/>
          </w:tcPr>
          <w:p>
            <w:pPr>
              <w:pStyle w:val="P9"/>
              <w:rPr>
                <w:rStyle w:val="C12"/>
                <w:rtl w:val="0"/>
              </w:rPr>
            </w:pPr>
            <w:r>
              <w:rPr>
                <w:rStyle w:val="C12"/>
                <w:rtl w:val="0"/>
              </w:rPr>
              <w:t>GLAVA</w:t>
            </w:r>
          </w:p>
        </w:tc>
        <w:tc>
          <w:tcPr>
            <w:tcW w:w="1065" w:type="dxa"/>
            <w:shd w:val="clear" w:color="auto" w:fill="1976D2"/>
            <w:vAlign w:val="top"/>
          </w:tcPr>
          <w:p>
            <w:pPr>
              <w:pStyle w:val="P9"/>
              <w:rPr>
                <w:rStyle w:val="C12"/>
                <w:rtl w:val="0"/>
              </w:rPr>
            </w:pPr>
            <w:r>
              <w:rPr>
                <w:rStyle w:val="C12"/>
                <w:rtl w:val="0"/>
              </w:rPr>
              <w:t>00000</w:t>
            </w:r>
          </w:p>
        </w:tc>
        <w:tc>
          <w:tcPr>
            <w:tcW w:w="5865" w:type="dxa"/>
            <w:shd w:val="clear" w:color="auto" w:fill="1976D2"/>
            <w:vAlign w:val="top"/>
          </w:tcPr>
          <w:p>
            <w:pPr>
              <w:pStyle w:val="P9"/>
              <w:rPr>
                <w:rStyle w:val="C12"/>
                <w:rtl w:val="0"/>
              </w:rPr>
            </w:pPr>
          </w:p>
        </w:tc>
        <w:tc>
          <w:tcPr>
            <w:tcW w:w="2175" w:type="dxa"/>
            <w:shd w:val="clear" w:color="auto" w:fill="1976D2"/>
            <w:vAlign w:val="top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747.402,00</w:t>
            </w:r>
          </w:p>
        </w:tc>
        <w:tc>
          <w:tcPr>
            <w:tcW w:w="2205" w:type="dxa"/>
            <w:gridSpan w:val="2"/>
            <w:shd w:val="clear" w:color="auto" w:fill="1976D2"/>
            <w:vAlign w:val="top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114.628,42</w:t>
            </w:r>
          </w:p>
        </w:tc>
        <w:tc>
          <w:tcPr>
            <w:tcW w:w="2130" w:type="dxa"/>
            <w:shd w:val="clear" w:color="auto" w:fill="1976D2"/>
            <w:vAlign w:val="top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862.030,42</w:t>
            </w:r>
          </w:p>
        </w:tc>
        <w:tc>
          <w:tcPr>
            <w:tcW w:w="930" w:type="dxa"/>
            <w:shd w:val="clear" w:color="auto" w:fill="1976D2"/>
            <w:vAlign w:val="top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15,34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01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OPĆI PRIHODI I PRIMICI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51.366,00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15.130,42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66.496,42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15,34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11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PRIHODI OD POREZA ZA REDOVNU DJELATNOST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3.592,00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15.813,32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19.405,32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15,34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12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 xml:space="preserve"> DECENTRALIZIRANA SREDSTVA-OSNOVNO ŠKOLSTVO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47.774,00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- 682,90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47.091,10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15,34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03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VLASTITI PRIHODI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4.668,00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- 2.614,00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2.054,00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15,34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31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VLASTITI PRIHODI - PRORAČUNSKI KORISNICI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4.668,00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- 2.614,00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2.054,00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15,34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04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PRIHODI ZA POSEBNE NAMJENE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3.879,00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559,00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4.438,00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15,34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45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 xml:space="preserve">OSTALI NESPOMENUTI PRIHODI -  PRORAČUNSKI KORISNICI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3.879,00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559,00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4.438,00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15,34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05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POMOĆI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685.158,00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102.181,00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787.339,00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15,34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53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POMOĆI OD OSTALIH SUBJEKATA UNUTAR OPĆE DRŽAVE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635.645,00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109.160,00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744.805,00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15,34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55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POMOĆI - PRORAČUNSKI KORISNICI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47.278,00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- 7.116,00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40.162,00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15,34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56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POMOĆI IZ PRORAČUNA - EU ŽUPANIJA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2.235,00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137,00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2.372,00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15,34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06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DONACIJE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2.331,00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- 628,00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1.703,00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15,34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63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DONACIJE-PK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2.331,00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- 628,00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1.703,00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15,34</w:t>
            </w:r>
          </w:p>
        </w:tc>
      </w:tr>
      <w:tr>
        <w:trPr>
          <w:trHeight w:hRule="atLeast" w:val="345"/>
        </w:trPr>
        <w:tc>
          <w:tcPr>
            <w:tcW w:w="1500" w:type="dxa"/>
            <w:shd w:val="clear" w:color="auto" w:fill="42A5F5"/>
            <w:vAlign w:val="top"/>
          </w:tcPr>
          <w:p>
            <w:pPr>
              <w:pStyle w:val="P15"/>
              <w:rPr>
                <w:rStyle w:val="C18"/>
                <w:rtl w:val="0"/>
              </w:rPr>
            </w:pPr>
            <w:r>
              <w:rPr>
                <w:rStyle w:val="C18"/>
                <w:rtl w:val="0"/>
              </w:rPr>
              <w:t>PROGRAM</w:t>
            </w:r>
          </w:p>
        </w:tc>
        <w:tc>
          <w:tcPr>
            <w:tcW w:w="1065" w:type="dxa"/>
            <w:shd w:val="clear" w:color="auto" w:fill="42A5F5"/>
            <w:vAlign w:val="top"/>
          </w:tcPr>
          <w:p>
            <w:pPr>
              <w:pStyle w:val="P15"/>
              <w:rPr>
                <w:rStyle w:val="C18"/>
                <w:rtl w:val="0"/>
              </w:rPr>
            </w:pPr>
            <w:r>
              <w:rPr>
                <w:rStyle w:val="C18"/>
                <w:rtl w:val="0"/>
              </w:rPr>
              <w:t>0000</w:t>
            </w:r>
          </w:p>
        </w:tc>
        <w:tc>
          <w:tcPr>
            <w:tcW w:w="5865" w:type="dxa"/>
            <w:shd w:val="clear" w:color="auto" w:fill="42A5F5"/>
            <w:vAlign w:val="top"/>
          </w:tcPr>
          <w:p>
            <w:pPr>
              <w:pStyle w:val="P15"/>
              <w:rPr>
                <w:rStyle w:val="C18"/>
                <w:rtl w:val="0"/>
              </w:rPr>
            </w:pPr>
          </w:p>
        </w:tc>
        <w:tc>
          <w:tcPr>
            <w:tcW w:w="2175" w:type="dxa"/>
            <w:shd w:val="clear" w:color="auto" w:fill="42A5F5"/>
            <w:vAlign w:val="top"/>
          </w:tcPr>
          <w:p>
            <w:pPr>
              <w:pStyle w:val="P16"/>
              <w:rPr>
                <w:rStyle w:val="C19"/>
                <w:rtl w:val="0"/>
              </w:rPr>
            </w:pPr>
            <w:r>
              <w:rPr>
                <w:rStyle w:val="C19"/>
                <w:rtl w:val="0"/>
              </w:rPr>
              <w:t>747.402,00</w:t>
            </w:r>
          </w:p>
        </w:tc>
        <w:tc>
          <w:tcPr>
            <w:tcW w:w="2205" w:type="dxa"/>
            <w:gridSpan w:val="2"/>
            <w:shd w:val="clear" w:color="auto" w:fill="42A5F5"/>
            <w:vAlign w:val="top"/>
          </w:tcPr>
          <w:p>
            <w:pPr>
              <w:pStyle w:val="P16"/>
              <w:rPr>
                <w:rStyle w:val="C19"/>
                <w:rtl w:val="0"/>
              </w:rPr>
            </w:pPr>
            <w:r>
              <w:rPr>
                <w:rStyle w:val="C19"/>
                <w:rtl w:val="0"/>
              </w:rPr>
              <w:t>114.628,42</w:t>
            </w:r>
          </w:p>
        </w:tc>
        <w:tc>
          <w:tcPr>
            <w:tcW w:w="2130" w:type="dxa"/>
            <w:shd w:val="clear" w:color="auto" w:fill="42A5F5"/>
            <w:vAlign w:val="top"/>
          </w:tcPr>
          <w:p>
            <w:pPr>
              <w:pStyle w:val="P16"/>
              <w:rPr>
                <w:rStyle w:val="C19"/>
                <w:rtl w:val="0"/>
              </w:rPr>
            </w:pPr>
            <w:r>
              <w:rPr>
                <w:rStyle w:val="C19"/>
                <w:rtl w:val="0"/>
              </w:rPr>
              <w:t>862.030,42</w:t>
            </w:r>
          </w:p>
        </w:tc>
        <w:tc>
          <w:tcPr>
            <w:tcW w:w="930" w:type="dxa"/>
            <w:shd w:val="clear" w:color="auto" w:fill="42A5F5"/>
            <w:vAlign w:val="top"/>
          </w:tcPr>
          <w:p>
            <w:pPr>
              <w:pStyle w:val="P16"/>
              <w:rPr>
                <w:rStyle w:val="C19"/>
                <w:rtl w:val="0"/>
              </w:rPr>
            </w:pPr>
            <w:r>
              <w:rPr>
                <w:rStyle w:val="C19"/>
                <w:rtl w:val="0"/>
              </w:rPr>
              <w:t>15,34</w:t>
            </w:r>
          </w:p>
        </w:tc>
      </w:tr>
      <w:tr>
        <w:trPr>
          <w:trHeight w:hRule="atLeast" w:val="345"/>
        </w:trPr>
        <w:tc>
          <w:tcPr>
            <w:tcW w:w="1500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Nepoznato</w:t>
            </w:r>
          </w:p>
        </w:tc>
        <w:tc>
          <w:tcPr>
            <w:tcW w:w="1065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</w:p>
        </w:tc>
        <w:tc>
          <w:tcPr>
            <w:tcW w:w="5865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</w:p>
        </w:tc>
        <w:tc>
          <w:tcPr>
            <w:tcW w:w="2175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747.402,00</w:t>
            </w:r>
          </w:p>
        </w:tc>
        <w:tc>
          <w:tcPr>
            <w:tcW w:w="2205" w:type="dxa"/>
            <w:gridSpan w:val="2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114.628,42</w:t>
            </w:r>
          </w:p>
        </w:tc>
        <w:tc>
          <w:tcPr>
            <w:tcW w:w="2130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862.030,42</w:t>
            </w:r>
          </w:p>
        </w:tc>
        <w:tc>
          <w:tcPr>
            <w:tcW w:w="930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15,34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01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OPĆI PRIHODI I PRIMICI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51.366,00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15.130,42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66.496,42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15,34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11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PRIHODI OD POREZA ZA REDOVNU DJELATNOST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3.592,00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15.813,32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19.405,32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15,34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12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 xml:space="preserve"> DECENTRALIZIRANA SREDSTVA-OSNOVNO ŠKOLSTVO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47.774,00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- 682,90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47.091,10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15,34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03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VLASTITI PRIHODI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4.668,00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- 2.614,00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2.054,00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15,34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31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VLASTITI PRIHODI - PRORAČUNSKI KORISNICI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4.668,00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- 2.614,00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2.054,00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15,34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04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PRIHODI ZA POSEBNE NAMJENE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3.879,00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559,00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4.438,00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15,34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45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 xml:space="preserve">OSTALI NESPOMENUTI PRIHODI -  PRORAČUNSKI KORISNICI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3.879,00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559,00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4.438,00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15,34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05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POMOĆI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685.158,00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102.181,00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787.339,00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15,34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53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POMOĆI OD OSTALIH SUBJEKATA UNUTAR OPĆE DRŽAVE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635.645,00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109.160,00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744.805,00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15,34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55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POMOĆI - PRORAČUNSKI KORISNICI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47.278,00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- 7.116,00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40.162,00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15,34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56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POMOĆI IZ PRORAČUNA - EU ŽUPANIJA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2.235,00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137,00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2.372,00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15,34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06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DONACIJE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2.331,00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- 628,00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1.703,00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15,34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63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DONACIJE-PK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2.331,00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- 628,00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1.703,00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15,34</w:t>
            </w:r>
          </w:p>
        </w:tc>
      </w:tr>
      <w:tr>
        <w:trPr>
          <w:trHeight w:hRule="atLeast" w:val="330"/>
        </w:trPr>
        <w:tc>
          <w:tcPr>
            <w:tcW w:w="1500" w:type="dxa"/>
            <w:shd w:val="clear" w:color="auto" w:fill="A5D6A7"/>
            <w:vAlign w:val="top"/>
          </w:tcPr>
          <w:p>
            <w:pPr>
              <w:pStyle w:val="P19"/>
              <w:rPr>
                <w:rStyle w:val="C22"/>
                <w:rtl w:val="0"/>
              </w:rPr>
            </w:pPr>
            <w:r>
              <w:rPr>
                <w:rStyle w:val="C22"/>
                <w:rtl w:val="0"/>
              </w:rPr>
              <w:t>Korisnik</w:t>
            </w:r>
          </w:p>
        </w:tc>
        <w:tc>
          <w:tcPr>
            <w:tcW w:w="1065" w:type="dxa"/>
            <w:shd w:val="clear" w:color="auto" w:fill="A5D6A7"/>
            <w:vAlign w:val="top"/>
          </w:tcPr>
          <w:p>
            <w:pPr>
              <w:pStyle w:val="P20"/>
              <w:rPr>
                <w:rStyle w:val="C23"/>
                <w:rtl w:val="0"/>
              </w:rPr>
            </w:pPr>
          </w:p>
        </w:tc>
        <w:tc>
          <w:tcPr>
            <w:tcW w:w="5865" w:type="dxa"/>
            <w:shd w:val="clear" w:color="auto" w:fill="A5D6A7"/>
            <w:vAlign w:val="top"/>
          </w:tcPr>
          <w:p>
            <w:pPr>
              <w:pStyle w:val="P19"/>
              <w:rPr>
                <w:rStyle w:val="C22"/>
                <w:rtl w:val="0"/>
              </w:rPr>
            </w:pPr>
            <w:r>
              <w:rPr>
                <w:rStyle w:val="C22"/>
                <w:rtl w:val="0"/>
              </w:rPr>
              <w:t>OSNOVNA ŠKOLA IVAN LACKOVIĆ CROATA KALINOVAC</w:t>
            </w:r>
          </w:p>
        </w:tc>
        <w:tc>
          <w:tcPr>
            <w:tcW w:w="2175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747.402,00</w:t>
            </w:r>
          </w:p>
        </w:tc>
        <w:tc>
          <w:tcPr>
            <w:tcW w:w="2205" w:type="dxa"/>
            <w:gridSpan w:val="2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114.628,42</w:t>
            </w:r>
          </w:p>
        </w:tc>
        <w:tc>
          <w:tcPr>
            <w:tcW w:w="2130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862.030,42</w:t>
            </w:r>
          </w:p>
        </w:tc>
        <w:tc>
          <w:tcPr>
            <w:tcW w:w="930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15,34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Funkcija</w:t>
            </w:r>
          </w:p>
        </w:tc>
        <w:tc>
          <w:tcPr>
            <w:tcW w:w="1065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</w:p>
        </w:tc>
        <w:tc>
          <w:tcPr>
            <w:tcW w:w="5865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</w:p>
        </w:tc>
        <w:tc>
          <w:tcPr>
            <w:tcW w:w="2175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747.402,00</w:t>
            </w:r>
          </w:p>
        </w:tc>
        <w:tc>
          <w:tcPr>
            <w:tcW w:w="2205" w:type="dxa"/>
            <w:gridSpan w:val="2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114.628,42</w:t>
            </w:r>
          </w:p>
        </w:tc>
        <w:tc>
          <w:tcPr>
            <w:tcW w:w="2130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862.030,42</w:t>
            </w:r>
          </w:p>
        </w:tc>
        <w:tc>
          <w:tcPr>
            <w:tcW w:w="930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15,34</w:t>
            </w:r>
          </w:p>
        </w:tc>
      </w:tr>
    </w:tbl>
    <w:p>
      <w:pPr>
        <w:rPr>
          <w:rtl w:val="0"/>
        </w:rPr>
        <w:sectPr>
          <w:headerReference xmlns:r="http://schemas.openxmlformats.org/officeDocument/2006/relationships" w:type="default" r:id="RelHdr1"/>
          <w:footerReference xmlns:r="http://schemas.openxmlformats.org/officeDocument/2006/relationships" w:type="default" r:id="RelFtr1"/>
          <w:type w:val="nextPage"/>
          <w:pgSz w:w="16833" w:h="11908" w:orient="landscape"/>
          <w:pgMar w:left="566" w:right="396" w:top="396" w:bottom="396" w:header="0" w:footer="0" w:gutter="0"/>
          <w:formProt w:val="0"/>
        </w:sectPr>
      </w:pPr>
    </w:p>
    <w:tbl>
      <w:tblPr>
        <w:bidiVisual w:val="0"/>
        <w:tblLayout w:type="fixed"/>
        <w:tblCellMar>
          <w:left w:w="0" w:type="dxa"/>
          <w:right w:w="0" w:type="dxa"/>
        </w:tblCellMar>
      </w:tblPr>
      <w:tblGrid>
        <w:gridCol w:w="1500"/>
        <w:gridCol w:w="1065"/>
        <w:gridCol w:w="5865"/>
        <w:gridCol w:w="2175"/>
        <w:gridCol w:w="2205"/>
        <w:gridCol w:w="2130"/>
        <w:gridCol w:w="930"/>
      </w:tblGrid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6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Prihodi poslovanja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747.402,00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114.628,42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862.030,42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15,34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63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Pomoći iz inozemstva i od subjekata unutar općeg proračuna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685.158,00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102.181,00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787.339,00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14,91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636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Pomoći proračunskim korisnicima iz proračuna koji im nije nadležan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682.709,00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102.224,00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784.933,00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14,97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6361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Tekuće pomoći proračunskim korisnicima iz proračuna koji im nije nadležan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681.421,00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101.424,00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782.845,00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14,88</w:t>
            </w:r>
          </w:p>
        </w:tc>
      </w:tr>
      <w:tr>
        <w:trPr>
          <w:trHeight w:hRule="atLeast" w:val="51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63612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Tekuće pomoći iz državnog proračuna proračunskim korisnicima proračuna JLP(R)S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663.401,00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111.409,00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774.810,00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16,79</w:t>
            </w:r>
          </w:p>
        </w:tc>
      </w:tr>
      <w:tr>
        <w:trPr>
          <w:trHeight w:hRule="atLeast" w:val="52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63612001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Tekuće pomoći iz državnog proračuna proračunskim korisnicima proračuna JLP(R)S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27.756,00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2.249,00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30.005,00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8,10</w:t>
            </w:r>
          </w:p>
        </w:tc>
      </w:tr>
      <w:tr>
        <w:trPr>
          <w:trHeight w:hRule="atLeast" w:val="51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63612010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Tekuće pomoći iz državnog proračuna proračunskim korisnicima proračuna JLP(R)S - plaća i ostala materijalna prava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635.645,00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109.160,00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744.805,00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17,17</w:t>
            </w:r>
          </w:p>
        </w:tc>
      </w:tr>
      <w:tr>
        <w:trPr>
          <w:trHeight w:hRule="atLeast" w:val="51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63613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Tekuće pomoći proračunskim korisnicima iz proračuna JLP(R)S koji im nije nadležan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18.020,00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- 9.985,00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8.035,00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- 55,41</w:t>
            </w:r>
          </w:p>
        </w:tc>
      </w:tr>
      <w:tr>
        <w:trPr>
          <w:trHeight w:hRule="atLeast" w:val="52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63613001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Tekuće pomoći proračunskim korisnicima iz proračuna JLP(R)S koji im nije nadležan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18.020,00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- 9.985,00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8.035,00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- 55,41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6362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Kapitalne pomoći proračunskim korisnicima iz proračuna koji im nije nadležan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1.288,00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2.088,00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62,11</w:t>
            </w:r>
          </w:p>
        </w:tc>
      </w:tr>
      <w:tr>
        <w:trPr>
          <w:trHeight w:hRule="atLeast" w:val="52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63622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Kapitalne pomoći iz državnog proračuna proračunskim korisnicima proračuna JLP(R)S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1.288,00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2.088,00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62,11</w:t>
            </w:r>
          </w:p>
        </w:tc>
      </w:tr>
      <w:tr>
        <w:trPr>
          <w:trHeight w:hRule="atLeast" w:val="51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63622001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Kapitalne pomoći iz državnog proračuna proračunskim korisnicima proračuna JLP(R)S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1.288,00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2.088,00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62,11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639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Prijenosi između proračunskih korisnika istog proračuna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2.449,00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- 43,00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2.406,00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- 1,76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6391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Tekući prijenosi između proračunskih korisnika istog proračuna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214,00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- 180,00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34,00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- 84,11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63911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Tekući prijenosi između proračunskih korisnika istog proračuna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214,00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- 180,00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34,00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- 84,11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63911001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Tekući prijenosi između proračunskih korisnika istog proračuna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214,00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- 180,00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34,00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- 84,11</w:t>
            </w:r>
          </w:p>
        </w:tc>
      </w:tr>
      <w:tr>
        <w:trPr>
          <w:trHeight w:hRule="atLeast" w:val="51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6393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Tekući prijenosi između proračunskih korisnika istog proračuna temeljem prijenosa EU sredstava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2.235,00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137,00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2.372,00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6,13</w:t>
            </w:r>
          </w:p>
        </w:tc>
      </w:tr>
      <w:tr>
        <w:trPr>
          <w:trHeight w:hRule="atLeast" w:val="51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63931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Tekući prijenosi između proračunskih korisnika istog proračuna temeljem prijenosa EU sredstava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2.235,00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137,00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2.372,00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6,13</w:t>
            </w:r>
          </w:p>
        </w:tc>
      </w:tr>
      <w:tr>
        <w:trPr>
          <w:trHeight w:hRule="atLeast" w:val="52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63931001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Tekući prijenosi između proračunskih korisnika istog proračuna temeljem prijenosa EU sredstava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2.235,00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137,00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2.372,00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6,13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64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Prihodi od imovine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2,00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2,00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641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Prihodi od financijske imovine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6413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Kamate na oročena sredstva i depozite po viđenju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64132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Kamate na depozite po viđenju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64132001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Kamate na depozitiu po viđenju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51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65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Prihodi od upravnih i administrativnih pristojbi, pristojbi po posebnim propisima i naknada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3.879,00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559,00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4.438,00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14,41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652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Prihodi po posebnim propisima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3.879,00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559,00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4.438,00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14,41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6526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Ostali nespomenuti prihodi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3.879,00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559,00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4.438,00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14,41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65264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Sufinanciranje cijene usluge, participacije i slično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3.879,00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559,00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4.438,00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14,41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65264001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Sufinanciranje cijene usluge, participacije i slično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3.879,00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559,00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4.438,00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14,41</w:t>
            </w:r>
          </w:p>
        </w:tc>
      </w:tr>
    </w:tbl>
    <w:p>
      <w:pPr>
        <w:rPr>
          <w:rtl w:val="0"/>
        </w:rPr>
        <w:sectPr>
          <w:headerReference xmlns:r="http://schemas.openxmlformats.org/officeDocument/2006/relationships" w:type="default" r:id="RelHdr2"/>
          <w:footerReference xmlns:r="http://schemas.openxmlformats.org/officeDocument/2006/relationships" w:type="default" r:id="RelFtr2"/>
          <w:type w:val="nextPage"/>
          <w:pgSz w:w="16833" w:h="11908" w:orient="landscape"/>
          <w:pgMar w:left="566" w:right="396" w:top="396" w:bottom="396" w:header="0" w:footer="0" w:gutter="0"/>
          <w:formProt w:val="0"/>
        </w:sectPr>
      </w:pPr>
    </w:p>
    <w:tbl>
      <w:tblPr>
        <w:bidiVisual w:val="0"/>
        <w:tblLayout w:type="fixed"/>
        <w:tblCellMar>
          <w:left w:w="0" w:type="dxa"/>
          <w:right w:w="0" w:type="dxa"/>
        </w:tblCellMar>
      </w:tblPr>
      <w:tblGrid>
        <w:gridCol w:w="1500"/>
        <w:gridCol w:w="1065"/>
        <w:gridCol w:w="5865"/>
        <w:gridCol w:w="2175"/>
        <w:gridCol w:w="2205"/>
        <w:gridCol w:w="2130"/>
        <w:gridCol w:w="930"/>
      </w:tblGrid>
      <w:tr>
        <w:trPr>
          <w:trHeight w:hRule="atLeast" w:val="52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66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Prihodi od prodaje proizvoda i robe te pruženih usluga, prihodi od donacija te povrati po protestiranim jamstvima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6.997,00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- 3.242,00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3.755,00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- 46,33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661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Prihodi od prodaje proizvoda i robe te pruženih usluga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4.666,00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- 2.614,00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2.052,00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- 56,02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6614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Prihodi od prodaje proizvoda i robe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4.666,00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- 2.614,00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2.052,00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- 56,02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66141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Prihodi od prodanih proizvoda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4.666,00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- 2.614,00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2.052,00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- 56,02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66141001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Prihodi od prodanih proizvoda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4.666,00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- 2.614,00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2.052,00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- 56,02</w:t>
            </w:r>
          </w:p>
        </w:tc>
      </w:tr>
      <w:tr>
        <w:trPr>
          <w:trHeight w:hRule="atLeast" w:val="52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663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Donacije od pravnih i fizičkih osoba izvan općeg proračuna te povrat donacija i kapitalnih pomoći po protestiranim jamstvima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2.331,00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- 628,00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1.703,00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- 26,94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6631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Tekuće donacije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2.331,00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- 628,00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1.703,00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- 26,94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66313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Tekuće donacije od trgovačkih društava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2.331,00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- 628,00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1.703,00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- 26,94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66313001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Tekuće donacije od trgovačkih društava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2.331,00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- 628,00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1.703,00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- 26,94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67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Prihodi iz nadležnog proračuna i od HZZO-a temeljem ugovornih obveza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51.366,00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15.130,42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66.496,42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29,46</w:t>
            </w:r>
          </w:p>
        </w:tc>
      </w:tr>
      <w:tr>
        <w:trPr>
          <w:trHeight w:hRule="atLeast" w:val="52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671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Prihodi iz nadležnog proračuna za financiranje redovne djelatnosti proračunskih korisnika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51.366,00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15.130,42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66.496,42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29,46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6711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Prihodi iz nadležnog proračuna za financiranje rashoda poslovanja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42.366,00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15.130,42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57.496,42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35,71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67111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Prihodi iz nadležnog proračuna za financiranje rashoda poslovanja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42.366,00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15.130,42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57.496,42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35,71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67111001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Prihodi za financiranje rashoda poslovanja - ŽUPANIJA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42.366,00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15.130,42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57.496,42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35,71</w:t>
            </w:r>
          </w:p>
        </w:tc>
      </w:tr>
      <w:tr>
        <w:trPr>
          <w:trHeight w:hRule="atLeast" w:val="51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6712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Prihodi iz nadležnog proračuna za financiranje rashoda za nabavu nefinancijske imovine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9.000,00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9.000,00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51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67121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Prihodi iz nadležnog proračuna za financiranje rashoda za nabavu nefinancijske imovine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9.000,00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9.000,00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67121001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Prihodi za financiranje rashoda za nabavu nefinancijske imovine -ŽUPANIJA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9.000,00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9.000,00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</w:tbl>
    <w:p>
      <w:pPr>
        <w:spacing w:lineRule="exact" w:line="15"/>
        <w:rPr>
          <w:rtl w:val="0"/>
        </w:rPr>
      </w:pPr>
    </w:p>
    <w:sectPr>
      <w:headerReference xmlns:r="http://schemas.openxmlformats.org/officeDocument/2006/relationships" w:type="default" r:id="RelHdr3"/>
      <w:footerReference xmlns:r="http://schemas.openxmlformats.org/officeDocument/2006/relationships" w:type="default" r:id="RelFtr3"/>
      <w:type w:val="nextPage"/>
      <w:pgSz w:w="16833" w:h="11908" w:orient="landscape"/>
      <w:pgMar w:left="566" w:right="396" w:top="396" w:bottom="396" w:header="0" w:footer="0" w:gutter="0"/>
      <w:formProt w:val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rPr>
        <w:rStyle w:val="C3"/>
      </w:rPr>
    </w:pPr>
  </w:p>
</w:ftr>
</file>

<file path=word/footer2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rPr>
        <w:rStyle w:val="C3"/>
      </w:rPr>
    </w:pPr>
  </w:p>
</w:ftr>
</file>

<file path=word/footer3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rPr>
        <w:rStyle w:val="C3"/>
      </w:rPr>
    </w:pP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rPr>
        <w:rStyle w:val="C3"/>
      </w:rPr>
    </w:pPr>
  </w:p>
</w:hdr>
</file>

<file path=word/header2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rPr>
        <w:rStyle w:val="C3"/>
      </w:rPr>
    </w:pPr>
  </w:p>
</w:hdr>
</file>

<file path=word/header3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rPr>
        <w:rStyle w:val="C3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bidi w:val="0"/>
      <w:spacing w:before="0" w:after="0"/>
      <w:ind w:left="28" w:right="28"/>
      <w:jc w:val="center"/>
    </w:pPr>
  </w:style>
  <w:style w:type="paragraph" w:styleId="P2">
    <w:name w:val="ParagraphStyle1"/>
    <w:hidden/>
    <w:pPr>
      <w:bidi w:val="0"/>
      <w:spacing w:before="0" w:after="0"/>
      <w:ind w:left="28" w:right="28"/>
      <w:jc w:val="center"/>
    </w:pPr>
  </w:style>
  <w:style w:type="paragraph" w:styleId="P3">
    <w:name w:val="ParagraphStyle2"/>
    <w:hidden/>
    <w:pPr>
      <w:bidi w:val="0"/>
      <w:spacing w:before="0" w:after="0"/>
      <w:ind w:left="0" w:right="0"/>
      <w:jc w:val="left"/>
    </w:pPr>
  </w:style>
  <w:style w:type="paragraph" w:styleId="P4">
    <w:name w:val="ParagraphStyle3"/>
    <w:hidden/>
    <w:pPr>
      <w:bidi w:val="0"/>
      <w:spacing w:before="0" w:after="0"/>
      <w:ind w:left="0" w:right="0"/>
      <w:jc w:val="right"/>
    </w:pPr>
  </w:style>
  <w:style w:type="paragraph" w:styleId="P5">
    <w:name w:val="ParagraphStyle4"/>
    <w:hidden/>
    <w:pPr>
      <w:bidi w:val="0"/>
      <w:spacing w:before="22" w:after="22"/>
      <w:ind w:left="22" w:right="22"/>
      <w:jc w:val="left"/>
    </w:pPr>
  </w:style>
  <w:style w:type="paragraph" w:styleId="P6">
    <w:name w:val="ParagraphStyle5"/>
    <w:hidden/>
    <w:pPr>
      <w:bidi w:val="0"/>
      <w:spacing w:before="22" w:after="22"/>
      <w:ind w:left="22" w:right="22"/>
      <w:jc w:val="right"/>
    </w:pPr>
  </w:style>
  <w:style w:type="paragraph" w:styleId="P7">
    <w:name w:val="ParagraphStyle6"/>
    <w:hidden/>
    <w:pPr>
      <w:bidi w:val="0"/>
      <w:spacing w:before="22" w:after="22"/>
      <w:ind w:left="22" w:right="22"/>
      <w:jc w:val="left"/>
    </w:pPr>
  </w:style>
  <w:style w:type="paragraph" w:styleId="P8">
    <w:name w:val="ParagraphStyle7"/>
    <w:hidden/>
    <w:pPr>
      <w:bidi w:val="0"/>
      <w:spacing w:before="22" w:after="22"/>
      <w:ind w:left="22" w:right="22"/>
      <w:jc w:val="right"/>
    </w:pPr>
  </w:style>
  <w:style w:type="paragraph" w:styleId="P9">
    <w:name w:val="ParagraphStyle8"/>
    <w:hidden/>
    <w:pPr>
      <w:bidi w:val="0"/>
      <w:spacing w:before="22" w:after="22"/>
      <w:ind w:left="22" w:right="22"/>
      <w:jc w:val="left"/>
    </w:pPr>
  </w:style>
  <w:style w:type="paragraph" w:styleId="P10">
    <w:name w:val="ParagraphStyle9"/>
    <w:hidden/>
    <w:pPr>
      <w:bidi w:val="0"/>
      <w:spacing w:before="22" w:after="22"/>
      <w:ind w:left="22" w:right="22"/>
      <w:jc w:val="right"/>
    </w:pPr>
  </w:style>
  <w:style w:type="paragraph" w:styleId="P11">
    <w:name w:val="ParagraphStyle10"/>
    <w:hidden/>
    <w:pPr>
      <w:bidi w:val="0"/>
      <w:spacing w:before="22" w:after="22"/>
      <w:ind w:left="22" w:right="22"/>
      <w:jc w:val="left"/>
    </w:pPr>
  </w:style>
  <w:style w:type="paragraph" w:styleId="P12">
    <w:name w:val="ParagraphStyle11"/>
    <w:hidden/>
    <w:pPr>
      <w:bidi w:val="0"/>
      <w:spacing w:before="22" w:after="22"/>
      <w:ind w:left="22" w:right="22"/>
      <w:jc w:val="right"/>
    </w:pPr>
  </w:style>
  <w:style w:type="paragraph" w:styleId="P13">
    <w:name w:val="ParagraphStyle12"/>
    <w:hidden/>
    <w:pPr>
      <w:bidi w:val="0"/>
      <w:spacing w:before="22" w:after="22"/>
      <w:ind w:left="22" w:right="22"/>
      <w:jc w:val="left"/>
    </w:pPr>
  </w:style>
  <w:style w:type="paragraph" w:styleId="P14">
    <w:name w:val="ParagraphStyle13"/>
    <w:hidden/>
    <w:pPr>
      <w:bidi w:val="0"/>
      <w:spacing w:before="22" w:after="22"/>
      <w:ind w:left="22" w:right="22"/>
      <w:jc w:val="right"/>
    </w:pPr>
  </w:style>
  <w:style w:type="paragraph" w:styleId="P15">
    <w:name w:val="ParagraphStyle14"/>
    <w:hidden/>
    <w:pPr>
      <w:bidi w:val="0"/>
      <w:spacing w:before="22" w:after="22"/>
      <w:ind w:left="22" w:right="22"/>
      <w:jc w:val="left"/>
    </w:pPr>
  </w:style>
  <w:style w:type="paragraph" w:styleId="P16">
    <w:name w:val="ParagraphStyle15"/>
    <w:hidden/>
    <w:pPr>
      <w:bidi w:val="0"/>
      <w:spacing w:before="22" w:after="22"/>
      <w:ind w:left="22" w:right="22"/>
      <w:jc w:val="right"/>
    </w:pPr>
  </w:style>
  <w:style w:type="paragraph" w:styleId="P17">
    <w:name w:val="ParagraphStyle16"/>
    <w:hidden/>
    <w:pPr>
      <w:bidi w:val="0"/>
      <w:spacing w:before="22" w:after="22"/>
      <w:ind w:left="22" w:right="22"/>
      <w:jc w:val="left"/>
    </w:pPr>
  </w:style>
  <w:style w:type="paragraph" w:styleId="P18">
    <w:name w:val="ParagraphStyle17"/>
    <w:hidden/>
    <w:pPr>
      <w:bidi w:val="0"/>
      <w:spacing w:before="22" w:after="22"/>
      <w:ind w:left="22" w:right="22"/>
      <w:jc w:val="right"/>
    </w:pPr>
  </w:style>
  <w:style w:type="paragraph" w:styleId="P19">
    <w:name w:val="ParagraphStyle18"/>
    <w:hidden/>
    <w:pPr>
      <w:bidi w:val="0"/>
      <w:spacing w:before="22" w:after="22"/>
      <w:ind w:left="22" w:right="22"/>
      <w:jc w:val="left"/>
    </w:pPr>
  </w:style>
  <w:style w:type="paragraph" w:styleId="P20">
    <w:name w:val="ParagraphStyle19"/>
    <w:hidden/>
    <w:pPr>
      <w:bidi w:val="0"/>
      <w:spacing w:before="22" w:after="22"/>
      <w:ind w:left="22" w:right="22"/>
      <w:jc w:val="left"/>
    </w:pPr>
  </w:style>
  <w:style w:type="paragraph" w:styleId="P21">
    <w:name w:val="ParagraphStyle20"/>
    <w:hidden/>
    <w:pPr>
      <w:bidi w:val="0"/>
      <w:spacing w:before="22" w:after="22"/>
      <w:ind w:left="22" w:right="22"/>
      <w:jc w:val="right"/>
    </w:pPr>
  </w:style>
  <w:style w:type="paragraph" w:styleId="P22">
    <w:name w:val="ParagraphStyle21"/>
    <w:hidden/>
    <w:pPr>
      <w:bidi w:val="0"/>
      <w:spacing w:before="22" w:after="22"/>
      <w:ind w:left="22" w:right="22"/>
      <w:jc w:val="left"/>
    </w:pPr>
  </w:style>
  <w:style w:type="paragraph" w:styleId="P23">
    <w:name w:val="ParagraphStyle22"/>
    <w:hidden/>
    <w:pPr>
      <w:bidi w:val="0"/>
      <w:spacing w:before="22" w:after="22"/>
      <w:ind w:left="22" w:right="22"/>
      <w:jc w:val="right"/>
    </w:pPr>
  </w:style>
  <w:style w:type="paragraph" w:styleId="P24">
    <w:name w:val="ParagraphStyle23"/>
    <w:hidden/>
    <w:pPr>
      <w:bidi w:val="0"/>
      <w:spacing w:before="22" w:after="22"/>
      <w:ind w:left="22" w:right="22"/>
      <w:jc w:val="left"/>
    </w:pPr>
  </w:style>
  <w:style w:type="paragraph" w:styleId="P25">
    <w:name w:val="ParagraphStyle24"/>
    <w:hidden/>
    <w:pPr>
      <w:bidi w:val="0"/>
      <w:spacing w:before="22" w:after="22"/>
      <w:ind w:left="22" w:right="22"/>
      <w:jc w:val="right"/>
    </w:pPr>
  </w:style>
  <w:style w:type="paragraph" w:styleId="P26">
    <w:name w:val="ParagraphStyle25"/>
    <w:hidden/>
    <w:pPr>
      <w:bidi w:val="0"/>
      <w:spacing w:before="22" w:after="22"/>
      <w:ind w:left="22" w:right="22"/>
      <w:jc w:val="left"/>
    </w:pPr>
  </w:style>
  <w:style w:type="paragraph" w:styleId="P27">
    <w:name w:val="ParagraphStyle26"/>
    <w:hidden/>
    <w:pPr>
      <w:bidi w:val="0"/>
      <w:spacing w:before="22" w:after="22"/>
      <w:ind w:left="22" w:right="22"/>
      <w:jc w:val="righ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5">
    <w:name w:val="CharacterStyle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6">
    <w:name w:val="CharacterStyle2"/>
    <w:hidden/>
    <w:rPr>
      <w:rFonts w:ascii="Calibri" w:cs="Calibri" w:hAnsi="Calibri" w:eastAsia="Calibri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7">
    <w:name w:val="CharacterStyle3"/>
    <w:hidden/>
    <w:rPr>
      <w:rFonts w:ascii="Calibri" w:cs="Calibri" w:hAnsi="Calibri" w:eastAsia="Calibri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8">
    <w:name w:val="CharacterStyle4"/>
    <w:hidden/>
    <w:rPr>
      <w:rFonts w:ascii="Calibri" w:cs="Calibri" w:hAnsi="Calibri" w:eastAsia="Calibri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9">
    <w:name w:val="CharacterStyle5"/>
    <w:hidden/>
    <w:rPr>
      <w:rFonts w:ascii="Calibri" w:cs="Calibri" w:hAnsi="Calibri" w:eastAsia="Calibri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0">
    <w:name w:val="CharacterStyle6"/>
    <w:hidden/>
    <w:rPr>
      <w:rFonts w:ascii="Calibri" w:cs="Calibri" w:hAnsi="Calibri" w:eastAsia="Calibri"/>
      <w:b w:val="1"/>
      <w:i w:val="0"/>
      <w:strike w:val="0"/>
      <w:noProof w:val="1"/>
      <w:color w:val="FFFFFF"/>
      <w:sz w:val="24"/>
      <w:szCs w:val="24"/>
      <w:u w:val="none"/>
    </w:rPr>
  </w:style>
  <w:style w:type="character" w:styleId="C11">
    <w:name w:val="CharacterStyle7"/>
    <w:hidden/>
    <w:rPr>
      <w:rFonts w:ascii="Calibri" w:cs="Calibri" w:hAnsi="Calibri" w:eastAsia="Calibri"/>
      <w:b w:val="1"/>
      <w:i w:val="0"/>
      <w:strike w:val="0"/>
      <w:noProof w:val="1"/>
      <w:color w:val="FFFFFF"/>
      <w:sz w:val="24"/>
      <w:szCs w:val="24"/>
      <w:u w:val="none"/>
    </w:rPr>
  </w:style>
  <w:style w:type="character" w:styleId="C12">
    <w:name w:val="CharacterStyle8"/>
    <w:hidden/>
    <w:rPr>
      <w:rFonts w:ascii="Calibri" w:cs="Calibri" w:hAnsi="Calibri" w:eastAsia="Calibri"/>
      <w:b w:val="1"/>
      <w:i w:val="0"/>
      <w:strike w:val="0"/>
      <w:noProof w:val="1"/>
      <w:color w:val="FFFFFF"/>
      <w:sz w:val="22"/>
      <w:szCs w:val="22"/>
      <w:u w:val="none"/>
    </w:rPr>
  </w:style>
  <w:style w:type="character" w:styleId="C13">
    <w:name w:val="CharacterStyle9"/>
    <w:hidden/>
    <w:rPr>
      <w:rFonts w:ascii="Calibri" w:cs="Calibri" w:hAnsi="Calibri" w:eastAsia="Calibri"/>
      <w:b w:val="1"/>
      <w:i w:val="0"/>
      <w:strike w:val="0"/>
      <w:noProof w:val="1"/>
      <w:color w:val="FFFFFF"/>
      <w:sz w:val="22"/>
      <w:szCs w:val="22"/>
      <w:u w:val="none"/>
    </w:rPr>
  </w:style>
  <w:style w:type="character" w:styleId="C14">
    <w:name w:val="CharacterStyle10"/>
    <w:hidden/>
    <w:rPr>
      <w:rFonts w:ascii="Calibri" w:cs="Calibri" w:hAnsi="Calibri" w:eastAsia="Calibri"/>
      <w:b w:val="1"/>
      <w:i w:val="0"/>
      <w:strike w:val="0"/>
      <w:noProof w:val="1"/>
      <w:color w:val="000000"/>
      <w:sz w:val="18"/>
      <w:szCs w:val="18"/>
      <w:u w:val="none"/>
    </w:rPr>
  </w:style>
  <w:style w:type="character" w:styleId="C15">
    <w:name w:val="CharacterStyle11"/>
    <w:hidden/>
    <w:rPr>
      <w:rFonts w:ascii="Calibri" w:cs="Calibri" w:hAnsi="Calibri" w:eastAsia="Calibri"/>
      <w:b w:val="1"/>
      <w:i w:val="0"/>
      <w:strike w:val="0"/>
      <w:noProof w:val="1"/>
      <w:color w:val="000000"/>
      <w:sz w:val="18"/>
      <w:szCs w:val="18"/>
      <w:u w:val="none"/>
    </w:rPr>
  </w:style>
  <w:style w:type="character" w:styleId="C16">
    <w:name w:val="CharacterStyle12"/>
    <w:hidden/>
    <w:rPr>
      <w:rFonts w:ascii="Calibri" w:cs="Calibri" w:hAnsi="Calibri" w:eastAsia="Calibri"/>
      <w:b w:val="1"/>
      <w:i w:val="0"/>
      <w:strike w:val="0"/>
      <w:noProof w:val="1"/>
      <w:color w:val="000000"/>
      <w:sz w:val="18"/>
      <w:szCs w:val="18"/>
      <w:u w:val="none"/>
    </w:rPr>
  </w:style>
  <w:style w:type="character" w:styleId="C17">
    <w:name w:val="CharacterStyle13"/>
    <w:hidden/>
    <w:rPr>
      <w:rFonts w:ascii="Calibri" w:cs="Calibri" w:hAnsi="Calibri" w:eastAsia="Calibri"/>
      <w:b w:val="1"/>
      <w:i w:val="0"/>
      <w:strike w:val="0"/>
      <w:noProof w:val="1"/>
      <w:color w:val="000000"/>
      <w:sz w:val="18"/>
      <w:szCs w:val="18"/>
      <w:u w:val="none"/>
    </w:rPr>
  </w:style>
  <w:style w:type="character" w:styleId="C18">
    <w:name w:val="CharacterStyle14"/>
    <w:hidden/>
    <w:rPr>
      <w:rFonts w:ascii="Calibri" w:cs="Calibri" w:hAnsi="Calibri" w:eastAsia="Calibri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Calibri" w:cs="Calibri" w:hAnsi="Calibri" w:eastAsia="Calibri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Calibri" w:cs="Calibri" w:hAnsi="Calibri" w:eastAsia="Calibri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1">
    <w:name w:val="CharacterStyle17"/>
    <w:hidden/>
    <w:rPr>
      <w:rFonts w:ascii="Calibri" w:cs="Calibri" w:hAnsi="Calibri" w:eastAsia="Calibri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2">
    <w:name w:val="CharacterStyle18"/>
    <w:hidden/>
    <w:rPr>
      <w:rFonts w:ascii="Calibri" w:cs="Calibri" w:hAnsi="Calibri" w:eastAsia="Calibri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Calibri" w:cs="Calibri" w:hAnsi="Calibri" w:eastAsia="Calibri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Calibri" w:cs="Calibri" w:hAnsi="Calibri" w:eastAsia="Calibri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Calibri" w:cs="Calibri" w:hAnsi="Calibri" w:eastAsia="Calibri"/>
      <w:b w:val="1"/>
      <w:i w:val="0"/>
      <w:strike w:val="0"/>
      <w:noProof w:val="1"/>
      <w:color w:val="000000"/>
      <w:sz w:val="18"/>
      <w:szCs w:val="18"/>
      <w:u w:val="none"/>
    </w:rPr>
  </w:style>
  <w:style w:type="character" w:styleId="C26">
    <w:name w:val="CharacterStyle22"/>
    <w:hidden/>
    <w:rPr>
      <w:rFonts w:ascii="Calibri" w:cs="Calibri" w:hAnsi="Calibri" w:eastAsia="Calibri"/>
      <w:b w:val="1"/>
      <w:i w:val="0"/>
      <w:strike w:val="0"/>
      <w:noProof w:val="1"/>
      <w:color w:val="000000"/>
      <w:sz w:val="18"/>
      <w:szCs w:val="18"/>
      <w:u w:val="none"/>
    </w:rPr>
  </w:style>
  <w:style w:type="character" w:styleId="C27">
    <w:name w:val="CharacterStyle23"/>
    <w:hidden/>
    <w:rPr>
      <w:rFonts w:ascii="Calibri" w:cs="Calibri" w:hAnsi="Calibri" w:eastAsia="Calibri"/>
      <w:b w:val="1"/>
      <w:i w:val="0"/>
      <w:strike w:val="0"/>
      <w:noProof w:val="1"/>
      <w:color w:val="000000"/>
      <w:sz w:val="18"/>
      <w:szCs w:val="18"/>
      <w:u w:val="none"/>
    </w:rPr>
  </w:style>
  <w:style w:type="character" w:styleId="C28">
    <w:name w:val="CharacterStyle24"/>
    <w:hidden/>
    <w:rPr>
      <w:rFonts w:ascii="Calibri" w:cs="Calibri" w:hAnsi="Calibri" w:eastAsia="Calibri"/>
      <w:b w:val="1"/>
      <w:i w:val="0"/>
      <w:strike w:val="0"/>
      <w:noProof w:val="1"/>
      <w:color w:val="000000"/>
      <w:sz w:val="18"/>
      <w:szCs w:val="18"/>
      <w:u w:val="none"/>
    </w:rPr>
  </w:style>
  <w:style w:type="character" w:styleId="C29">
    <w:name w:val="CharacterStyle25"/>
    <w:hidden/>
    <w:rPr>
      <w:rFonts w:ascii="Calibri" w:cs="Calibri" w:hAnsi="Calibri" w:eastAsia="Calibri"/>
      <w:b w:val="0"/>
      <w:i w:val="0"/>
      <w:strike w:val="0"/>
      <w:noProof w:val="1"/>
      <w:color w:val="000000"/>
      <w:sz w:val="18"/>
      <w:szCs w:val="18"/>
      <w:u w:val="none"/>
    </w:rPr>
  </w:style>
  <w:style w:type="character" w:styleId="C30">
    <w:name w:val="CharacterStyle26"/>
    <w:hidden/>
    <w:rPr>
      <w:rFonts w:ascii="Calibri" w:cs="Calibri" w:hAnsi="Calibri" w:eastAsia="Calibri"/>
      <w:b w:val="0"/>
      <w:i w:val="0"/>
      <w:strike w:val="0"/>
      <w:noProof w:val="1"/>
      <w:color w:val="000000"/>
      <w:sz w:val="18"/>
      <w:szCs w:val="18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Hdr1" Type="http://schemas.openxmlformats.org/officeDocument/2006/relationships/header" Target="header1.xml" /><Relationship Id="RelHdr2" Type="http://schemas.openxmlformats.org/officeDocument/2006/relationships/header" Target="header2.xml" /><Relationship Id="RelHdr3" Type="http://schemas.openxmlformats.org/officeDocument/2006/relationships/header" Target="header3.xml" /><Relationship Id="RelFtr1" Type="http://schemas.openxmlformats.org/officeDocument/2006/relationships/footer" Target="footer1.xml" /><Relationship Id="RelFtr2" Type="http://schemas.openxmlformats.org/officeDocument/2006/relationships/footer" Target="footer2.xml" /><Relationship Id="RelFtr3" Type="http://schemas.openxmlformats.org/officeDocument/2006/relationships/footer" Target="footer3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22.2.5.0</vt:lpwstr>
  </property>
</Properties>
</file>