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85443" Type="http://schemas.openxmlformats.org/officeDocument/2006/relationships/officeDocument" Target="/word/document.xml" /><Relationship Id="coreR61C85443" Type="http://schemas.openxmlformats.org/package/2006/relationships/metadata/core-properties" Target="/docProps/core.xml" /><Relationship Id="customR61C854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9915"/>
      </w:tblGrid>
      <w:tr>
        <w:trPr>
          <w:trHeight w:hRule="atLeast" w:val="300"/>
        </w:trPr>
        <w:tc>
          <w:tcPr>
            <w:tcW w:w="9915" w:type="dxa"/>
            <w:shd w:val="clear" w:color="auto" w:fill="auto"/>
            <w:vAlign w:val="center"/>
          </w:tcPr>
          <w:p>
            <w:pPr>
              <w:pStyle w:val="P1"/>
              <w:rPr>
                <w:rStyle w:val="C4"/>
                <w:rtl w:val="0"/>
              </w:rPr>
            </w:pPr>
            <w:r>
              <w:rPr>
                <w:rStyle w:val="C4"/>
                <w:rtl w:val="0"/>
              </w:rPr>
              <w:t>A. RAČUN PRIHODA I RASHODA</w:t>
            </w:r>
          </w:p>
        </w:tc>
      </w:tr>
    </w:tbl>
    <w:p>
      <w:pPr>
        <w:spacing w:lineRule="exact" w:line="15"/>
        <w:rPr>
          <w:rtl w:val="0"/>
        </w:rPr>
      </w:pPr>
    </w:p>
    <w:p>
      <w:pPr>
        <w:spacing w:lineRule="exact" w:line="255"/>
        <w:rPr>
          <w:rtl w:val="0"/>
        </w:r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9915"/>
      </w:tblGrid>
      <w:tr>
        <w:trPr>
          <w:trHeight w:hRule="atLeast" w:val="405"/>
        </w:trPr>
        <w:tc>
          <w:tcPr>
            <w:tcW w:w="9915" w:type="dxa"/>
            <w:shd w:val="clear" w:color="auto" w:fill="auto"/>
            <w:vAlign w:val="center"/>
          </w:tcPr>
          <w:p>
            <w:pPr>
              <w:pStyle w:val="P2"/>
              <w:rPr>
                <w:rStyle w:val="C5"/>
                <w:rtl w:val="0"/>
              </w:rPr>
            </w:pPr>
            <w:r>
              <w:rPr>
                <w:rStyle w:val="C5"/>
                <w:rtl w:val="0"/>
              </w:rPr>
              <w:t>A1. PRIHODI I RASHODI PREMA EKONOMSKOJ KLASIFIKACIJI</w:t>
            </w:r>
          </w:p>
        </w:tc>
      </w:tr>
    </w:tbl>
    <w:p>
      <w:pPr>
        <w:spacing w:lineRule="exact" w:line="15"/>
        <w:rPr>
          <w:rtl w:val="0"/>
        </w:rPr>
      </w:pPr>
    </w:p>
    <w:p>
      <w:pPr>
        <w:spacing w:lineRule="exact" w:line="165"/>
        <w:rPr>
          <w:rtl w:val="0"/>
        </w:r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885"/>
        <w:gridCol w:w="3750"/>
        <w:gridCol w:w="1725"/>
        <w:gridCol w:w="1740"/>
        <w:gridCol w:w="1815"/>
      </w:tblGrid>
      <w:tr>
        <w:trPr>
          <w:trHeight w:hRule="atLeast" w:val="555"/>
        </w:trPr>
        <w:tc>
          <w:tcPr>
            <w:tcW w:w="885" w:type="dxa"/>
            <w:tcBorders>
              <w:top w:val="single" w:sz="6" w:space="0" w:shadow="0" w:frame="0" w:color="000000"/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DCDCDC"/>
            <w:vAlign w:val="center"/>
          </w:tcPr>
          <w:p>
            <w:pPr>
              <w:pStyle w:val="P3"/>
              <w:rPr>
                <w:rStyle w:val="C6"/>
                <w:rtl w:val="0"/>
              </w:rPr>
            </w:pPr>
            <w:r>
              <w:rPr>
                <w:rStyle w:val="C6"/>
                <w:rtl w:val="0"/>
              </w:rPr>
              <w:t>Razred/ skupina</w:t>
            </w:r>
          </w:p>
        </w:tc>
        <w:tc>
          <w:tcPr>
            <w:tcW w:w="3750" w:type="dxa"/>
            <w:tcBorders>
              <w:top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DCDCDC"/>
            <w:vAlign w:val="center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Naziv prihoda</w:t>
            </w:r>
          </w:p>
        </w:tc>
        <w:tc>
          <w:tcPr>
            <w:tcW w:w="1725" w:type="dxa"/>
            <w:tcBorders>
              <w:top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DCDCDC"/>
            <w:vAlign w:val="center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Plan 2025.</w:t>
            </w:r>
          </w:p>
        </w:tc>
        <w:tc>
          <w:tcPr>
            <w:tcW w:w="1740" w:type="dxa"/>
            <w:tcBorders>
              <w:top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DCDCDC"/>
            <w:vAlign w:val="center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Povećanje/smanjenje</w:t>
            </w:r>
          </w:p>
        </w:tc>
        <w:tc>
          <w:tcPr>
            <w:tcW w:w="1815" w:type="dxa"/>
            <w:tcBorders>
              <w:top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DCDCDC"/>
            <w:vAlign w:val="center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Novi plan 2025.</w:t>
            </w:r>
          </w:p>
        </w:tc>
      </w:tr>
      <w:tr>
        <w:trPr>
          <w:trHeight w:hRule="atLeast" w:val="24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5"/>
              <w:rPr>
                <w:rStyle w:val="C8"/>
                <w:rtl w:val="0"/>
              </w:rPr>
            </w:pPr>
            <w:r>
              <w:rPr>
                <w:rStyle w:val="C8"/>
                <w:rtl w:val="0"/>
              </w:rPr>
              <w:t>1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2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3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4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5</w:t>
            </w:r>
          </w:p>
        </w:tc>
      </w:tr>
      <w:tr>
        <w:trPr>
          <w:trHeight w:hRule="atLeast" w:val="36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7"/>
              <w:rPr>
                <w:rStyle w:val="C10"/>
                <w:rtl w:val="0"/>
              </w:rPr>
            </w:pP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UKUPNO PRIHODI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747.402,00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114.628,42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862.030,42</w:t>
            </w:r>
          </w:p>
        </w:tc>
      </w:tr>
      <w:tr>
        <w:trPr>
          <w:trHeight w:hRule="atLeast" w:val="36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7"/>
              <w:rPr>
                <w:rStyle w:val="C10"/>
                <w:rtl w:val="0"/>
              </w:rPr>
            </w:pPr>
            <w:r>
              <w:rPr>
                <w:rStyle w:val="C10"/>
                <w:rtl w:val="0"/>
              </w:rPr>
              <w:t>6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Prihodi poslovanja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747.402,00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114.628,42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862.030,42</w:t>
            </w:r>
          </w:p>
        </w:tc>
      </w:tr>
      <w:tr>
        <w:trPr>
          <w:trHeight w:hRule="atLeast" w:val="42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63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 iz inozemstva i od subjekata unutar općeg proračuna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685.158,00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102.181,00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787.339,00</w:t>
            </w:r>
          </w:p>
        </w:tc>
      </w:tr>
      <w:tr>
        <w:trPr>
          <w:trHeight w:hRule="atLeast" w:val="36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64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Prihodi od imovine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2,00</w:t>
            </w:r>
          </w:p>
        </w:tc>
      </w:tr>
      <w:tr>
        <w:trPr>
          <w:trHeight w:hRule="atLeast" w:val="405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65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Prihodi od upravnih i administrativnih pristojbi, pristojbi po posebnim propisima i naknada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3.879,00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559,00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4.438,00</w:t>
            </w:r>
          </w:p>
        </w:tc>
      </w:tr>
      <w:tr>
        <w:trPr>
          <w:trHeight w:hRule="atLeast" w:val="60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66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Prihodi od prodaje proizvoda i robe te pruženih usluga, prihodi od donacija te povrati po protestiranim jamstvima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6.997,00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- 3.242,00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3.755,00</w:t>
            </w:r>
          </w:p>
        </w:tc>
      </w:tr>
      <w:tr>
        <w:trPr>
          <w:trHeight w:hRule="atLeast" w:val="405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67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Prihodi iz nadležnog proračuna i od HZZO-a temeljem ugovornih obveza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51.366,00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15.130,42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66.496,42</w:t>
            </w:r>
          </w:p>
        </w:tc>
      </w:tr>
      <w:tr>
        <w:trPr>
          <w:trHeight w:hRule="atLeast" w:val="255"/>
        </w:trPr>
        <w:tc>
          <w:tcPr>
            <w:tcW w:w="9915" w:type="dxa"/>
            <w:gridSpan w:val="5"/>
            <w:shd w:val="clear" w:color="auto" w:fill="auto"/>
            <w:vAlign w:val="center"/>
          </w:tcPr>
          <w:p>
            <w:pPr>
              <w:pStyle w:val="P2"/>
              <w:rPr>
                <w:rStyle w:val="C5"/>
                <w:rtl w:val="0"/>
              </w:rPr>
            </w:pPr>
          </w:p>
        </w:tc>
      </w:tr>
    </w:tbl>
    <w:p>
      <w:pPr>
        <w:spacing w:lineRule="exact" w:line="15"/>
        <w:rPr>
          <w:rtl w:val="0"/>
        </w:rPr>
      </w:pPr>
    </w:p>
    <w:p>
      <w:pPr>
        <w:spacing w:lineRule="exact" w:line="180"/>
        <w:rPr>
          <w:rtl w:val="0"/>
        </w:r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885"/>
        <w:gridCol w:w="3750"/>
        <w:gridCol w:w="1725"/>
        <w:gridCol w:w="1740"/>
        <w:gridCol w:w="1815"/>
      </w:tblGrid>
      <w:tr>
        <w:trPr>
          <w:trHeight w:hRule="atLeast" w:val="555"/>
        </w:trPr>
        <w:tc>
          <w:tcPr>
            <w:tcW w:w="885" w:type="dxa"/>
            <w:tcBorders>
              <w:top w:val="single" w:sz="6" w:space="0" w:shadow="0" w:frame="0" w:color="000000"/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DCDCDC"/>
            <w:vAlign w:val="center"/>
          </w:tcPr>
          <w:p>
            <w:pPr>
              <w:pStyle w:val="P3"/>
              <w:rPr>
                <w:rStyle w:val="C6"/>
                <w:rtl w:val="0"/>
              </w:rPr>
            </w:pPr>
            <w:r>
              <w:rPr>
                <w:rStyle w:val="C6"/>
                <w:rtl w:val="0"/>
              </w:rPr>
              <w:t>Razred/ skupina</w:t>
            </w:r>
          </w:p>
        </w:tc>
        <w:tc>
          <w:tcPr>
            <w:tcW w:w="3750" w:type="dxa"/>
            <w:tcBorders>
              <w:top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DCDCDC"/>
            <w:vAlign w:val="center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Naziv rashoda</w:t>
            </w:r>
          </w:p>
        </w:tc>
        <w:tc>
          <w:tcPr>
            <w:tcW w:w="1725" w:type="dxa"/>
            <w:tcBorders>
              <w:top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DCDCDC"/>
            <w:vAlign w:val="center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Plan 2025.</w:t>
            </w:r>
          </w:p>
        </w:tc>
        <w:tc>
          <w:tcPr>
            <w:tcW w:w="1740" w:type="dxa"/>
            <w:tcBorders>
              <w:top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DCDCDC"/>
            <w:vAlign w:val="center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Povećanje/smanjenje</w:t>
            </w:r>
          </w:p>
        </w:tc>
        <w:tc>
          <w:tcPr>
            <w:tcW w:w="1815" w:type="dxa"/>
            <w:tcBorders>
              <w:top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DCDCDC"/>
            <w:vAlign w:val="center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Novi plan 2025.</w:t>
            </w:r>
          </w:p>
        </w:tc>
      </w:tr>
      <w:tr>
        <w:trPr>
          <w:trHeight w:hRule="atLeast" w:val="225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5"/>
              <w:rPr>
                <w:rStyle w:val="C8"/>
                <w:rtl w:val="0"/>
              </w:rPr>
            </w:pPr>
            <w:r>
              <w:rPr>
                <w:rStyle w:val="C8"/>
                <w:rtl w:val="0"/>
              </w:rPr>
              <w:t>1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2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3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4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5</w:t>
            </w:r>
          </w:p>
        </w:tc>
      </w:tr>
      <w:tr>
        <w:trPr>
          <w:trHeight w:hRule="atLeast" w:val="36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7"/>
              <w:rPr>
                <w:rStyle w:val="C10"/>
                <w:rtl w:val="0"/>
              </w:rPr>
            </w:pP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UKUPNO RASHODI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748.052,00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106.499,94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854.551,94</w:t>
            </w:r>
          </w:p>
        </w:tc>
      </w:tr>
      <w:tr>
        <w:trPr>
          <w:trHeight w:hRule="atLeast" w:val="36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7"/>
              <w:rPr>
                <w:rStyle w:val="C10"/>
                <w:rtl w:val="0"/>
              </w:rPr>
            </w:pPr>
            <w:r>
              <w:rPr>
                <w:rStyle w:val="C10"/>
                <w:rtl w:val="0"/>
              </w:rPr>
              <w:t>3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Rashodi poslovanja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737.764,00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105.699,94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843.463,94</w:t>
            </w:r>
          </w:p>
        </w:tc>
      </w:tr>
      <w:tr>
        <w:trPr>
          <w:trHeight w:hRule="atLeast" w:val="36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31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Rashodi za zaposlene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615.590,00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112.934,50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728.524,50</w:t>
            </w:r>
          </w:p>
        </w:tc>
      </w:tr>
      <w:tr>
        <w:trPr>
          <w:trHeight w:hRule="atLeast" w:val="36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32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Materijalni rashodi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118.719,00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- 9.303,56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109.415,44</w:t>
            </w:r>
          </w:p>
        </w:tc>
      </w:tr>
      <w:tr>
        <w:trPr>
          <w:trHeight w:hRule="atLeast" w:val="36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34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Financijski rashodi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23,00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23,00</w:t>
            </w:r>
          </w:p>
        </w:tc>
      </w:tr>
      <w:tr>
        <w:trPr>
          <w:trHeight w:hRule="atLeast" w:val="42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36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 dane u inozemstvo i unutar općeg proračuna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234,00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- 180,00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54,00</w:t>
            </w:r>
          </w:p>
        </w:tc>
      </w:tr>
      <w:tr>
        <w:trPr>
          <w:trHeight w:hRule="atLeast" w:val="405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37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Naknade građanima i kućanstvima na temelju osiguranja i druge naknade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3.000,00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2.240,00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5.240,00</w:t>
            </w:r>
          </w:p>
        </w:tc>
      </w:tr>
      <w:tr>
        <w:trPr>
          <w:trHeight w:hRule="atLeast" w:val="42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38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Rashodi za donacije, kazne, naknade šteta i kapitalne pomoći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198,00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9,00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207,00</w:t>
            </w:r>
          </w:p>
        </w:tc>
      </w:tr>
      <w:tr>
        <w:trPr>
          <w:trHeight w:hRule="atLeast" w:val="36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7"/>
              <w:rPr>
                <w:rStyle w:val="C10"/>
                <w:rtl w:val="0"/>
              </w:rPr>
            </w:pPr>
            <w:r>
              <w:rPr>
                <w:rStyle w:val="C10"/>
                <w:rtl w:val="0"/>
              </w:rPr>
              <w:t>4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Rashodi za nabavu nefinancijske imovine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10.288,00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800,00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11.088,00</w:t>
            </w:r>
          </w:p>
        </w:tc>
      </w:tr>
      <w:tr>
        <w:trPr>
          <w:trHeight w:hRule="atLeast" w:val="360"/>
        </w:trPr>
        <w:tc>
          <w:tcPr>
            <w:tcW w:w="885" w:type="dxa"/>
            <w:tcBorders>
              <w:left w:val="single" w:sz="6" w:space="0" w:shadow="0" w:frame="0" w:color="000000"/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42</w:t>
            </w:r>
          </w:p>
        </w:tc>
        <w:tc>
          <w:tcPr>
            <w:tcW w:w="375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Rashodi za nabavu proizvedene dugotrajne imovine</w:t>
            </w:r>
          </w:p>
        </w:tc>
        <w:tc>
          <w:tcPr>
            <w:tcW w:w="172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10.288,00</w:t>
            </w:r>
          </w:p>
        </w:tc>
        <w:tc>
          <w:tcPr>
            <w:tcW w:w="1740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800,00</w:t>
            </w:r>
          </w:p>
        </w:tc>
        <w:tc>
          <w:tcPr>
            <w:tcW w:w="1815" w:type="dxa"/>
            <w:tcBorders>
              <w:bottom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center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11.088,00</w:t>
            </w:r>
          </w:p>
        </w:tc>
      </w:tr>
    </w:tbl>
    <w:p>
      <w:pPr>
        <w:spacing w:lineRule="exact" w:line="15"/>
        <w:rPr>
          <w:rtl w:val="0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8" w:h="16833"/>
      <w:pgMar w:left="1133" w:right="850" w:top="850" w:bottom="850" w:header="0" w:footer="0" w:gutter="0"/>
      <w:formProt w:val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bidi w:val="0"/>
      <w:spacing w:before="28" w:after="28"/>
      <w:ind w:left="28" w:right="28"/>
      <w:jc w:val="center"/>
    </w:pPr>
  </w:style>
  <w:style w:type="paragraph" w:styleId="P2">
    <w:name w:val="ParagraphStyle1"/>
    <w:hidden/>
    <w:pPr>
      <w:bidi w:val="0"/>
      <w:spacing w:before="73" w:after="73"/>
      <w:ind w:left="28" w:right="28"/>
      <w:jc w:val="center"/>
    </w:pPr>
  </w:style>
  <w:style w:type="paragraph" w:styleId="P3">
    <w:name w:val="ParagraphStyle2"/>
    <w:hidden/>
    <w:pPr>
      <w:bidi w:val="0"/>
      <w:spacing w:before="28" w:after="28"/>
      <w:ind w:left="28" w:right="28"/>
      <w:jc w:val="center"/>
    </w:pPr>
  </w:style>
  <w:style w:type="paragraph" w:styleId="P4">
    <w:name w:val="ParagraphStyle3"/>
    <w:hidden/>
    <w:pPr>
      <w:bidi w:val="0"/>
      <w:spacing w:before="28" w:after="28"/>
      <w:ind w:left="28" w:right="28"/>
      <w:jc w:val="center"/>
    </w:pPr>
  </w:style>
  <w:style w:type="paragraph" w:styleId="P5">
    <w:name w:val="ParagraphStyle4"/>
    <w:hidden/>
    <w:pPr>
      <w:bidi w:val="0"/>
      <w:spacing w:before="0" w:after="0"/>
      <w:ind w:left="28" w:right="28"/>
      <w:jc w:val="center"/>
    </w:pPr>
  </w:style>
  <w:style w:type="paragraph" w:styleId="P6">
    <w:name w:val="ParagraphStyle5"/>
    <w:hidden/>
    <w:pPr>
      <w:bidi w:val="0"/>
      <w:spacing w:before="0" w:after="0"/>
      <w:ind w:left="28" w:right="28"/>
      <w:jc w:val="center"/>
    </w:pPr>
  </w:style>
  <w:style w:type="paragraph" w:styleId="P7">
    <w:name w:val="ParagraphStyle6"/>
    <w:hidden/>
    <w:pPr>
      <w:bidi w:val="0"/>
      <w:spacing w:before="0" w:after="0"/>
      <w:ind w:left="28" w:right="28"/>
      <w:jc w:val="left"/>
    </w:pPr>
  </w:style>
  <w:style w:type="paragraph" w:styleId="P8">
    <w:name w:val="ParagraphStyle7"/>
    <w:hidden/>
    <w:pPr>
      <w:bidi w:val="0"/>
      <w:spacing w:before="0" w:after="0"/>
      <w:ind w:left="28" w:right="28"/>
      <w:jc w:val="left"/>
    </w:pPr>
  </w:style>
  <w:style w:type="paragraph" w:styleId="P9">
    <w:name w:val="ParagraphStyle8"/>
    <w:hidden/>
    <w:pPr>
      <w:bidi w:val="0"/>
      <w:spacing w:before="0" w:after="0"/>
      <w:ind w:left="28" w:right="28"/>
      <w:jc w:val="right"/>
    </w:pPr>
  </w:style>
  <w:style w:type="paragraph" w:styleId="P10">
    <w:name w:val="ParagraphStyle9"/>
    <w:hidden/>
    <w:pPr>
      <w:bidi w:val="0"/>
      <w:spacing w:before="0" w:after="0"/>
      <w:ind w:left="28" w:right="28"/>
      <w:jc w:val="left"/>
    </w:pPr>
  </w:style>
  <w:style w:type="paragraph" w:styleId="P11">
    <w:name w:val="ParagraphStyle10"/>
    <w:hidden/>
    <w:pPr>
      <w:bidi w:val="0"/>
      <w:spacing w:before="0" w:after="0"/>
      <w:ind w:left="28" w:right="0"/>
      <w:jc w:val="left"/>
    </w:pPr>
  </w:style>
  <w:style w:type="paragraph" w:styleId="P12">
    <w:name w:val="ParagraphStyle11"/>
    <w:hidden/>
    <w:pPr>
      <w:bidi w:val="0"/>
      <w:spacing w:before="0" w:after="0"/>
      <w:ind w:left="28" w:right="28"/>
      <w:jc w:val="right"/>
    </w:pPr>
  </w:style>
  <w:style w:type="paragraph" w:styleId="P13">
    <w:name w:val="ParagraphStyle12"/>
    <w:hidden/>
    <w:pPr>
      <w:bidi w:val="0"/>
      <w:spacing w:before="0" w:after="0"/>
      <w:ind w:left="0" w:right="28"/>
      <w:jc w:val="righ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5">
    <w:name w:val="CharacterStyle1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7">
    <w:name w:val="CharacterStyle3"/>
    <w:hidden/>
    <w:rPr>
      <w:rFonts w:ascii="Arial" w:cs="Arial" w:hAnsi="Arial" w:eastAsia="Arial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22.2.5.0</vt:lpwstr>
  </property>
</Properties>
</file>