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66ff4d1dd4c2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22953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LACKOVIĆ CROATA KALINOVAC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716.850,55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782.838,42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712.249,33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831.292,19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48.453,77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7.063,08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11.124,53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7.063,08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11.124,53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2.461,86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59.578,30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2420,1</w:t>
            </w:r>
          </w:p>
        </w:tc>
      </w:tr>
    </w:tbl>
    <w:p>
      <w:pPr>
        <w:spacing w:before="0" w:after="0"/>
      </w:pPr>
    </w:p>
    <w:p>
      <w:r>
        <w:t xml:space="preserve">Manjak prihoda poslovanja odnosi se na rashode za isplatu plaće za mjesec prosinac 2025. godine i rashode za materijal, energiju i usluge nastale u prosincu 2025. godine. rashodi za nabavu nefinancijske imovine plaćeni su iz redovnih prihoda poslovanja.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716.850,55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782.838,42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Prihodi poslovanja za izvještajno razdoblje iznose 782.838,42 eura i u odnosu na prethodnu godinu veći su za 9,2%. Prihodi po izvorima financiranja, subjektu i namjeni su:</w:t>
      </w:r>
    </w:p>
    <w:p>
      <w:r>
        <w:t xml:space="preserve">Izvor 1.1.:</w:t>
      </w:r>
    </w:p>
    <w:p>
      <w:pPr>
        <w:pStyle w:val="ListParagraph"/>
        <w:numPr>
          <w:ilvl w:val="0"/>
          <w:numId w:val="2"/>
        </w:numPr>
      </w:pPr>
      <w:r>
        <w:t xml:space="preserve"> Koprivničko-križevačka županija iznad zakonskog standarda - 11.581,03 eura</w:t>
      </w:r>
    </w:p>
    <w:p>
      <w:r>
        <w:t xml:space="preserve">Izvor 1.2.:</w:t>
      </w:r>
    </w:p>
    <w:p>
      <w:pPr>
        <w:pStyle w:val="ListParagraph"/>
        <w:numPr>
          <w:ilvl w:val="0"/>
          <w:numId w:val="3"/>
        </w:numPr>
      </w:pPr>
      <w:r>
        <w:t xml:space="preserve">Koprivničko-križevačka županija zakonski standard - 39.901,71 eura</w:t>
      </w:r>
    </w:p>
    <w:p>
      <w:pPr>
        <w:pStyle w:val="ListParagraph"/>
        <w:numPr>
          <w:ilvl w:val="0"/>
          <w:numId w:val="3"/>
        </w:numPr>
      </w:pPr>
      <w:r>
        <w:t xml:space="preserve">Koprivničko-križevačka županija za opremu - 9.741,15 eura</w:t>
      </w:r>
    </w:p>
    <w:p>
      <w:r>
        <w:t xml:space="preserve">Izvor 5.5.: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prehranu učenika u školskoj kuhinji -22389,22 eura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udžbenike - 6.222,09 eura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školsku knjižnicu - 310,00 eura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ŽSV geografije - 245,00 eura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PDS prvi dio - 172,00 eura</w:t>
      </w:r>
    </w:p>
    <w:p>
      <w:pPr>
        <w:pStyle w:val="ListParagraph"/>
        <w:numPr>
          <w:ilvl w:val="0"/>
          <w:numId w:val="4"/>
        </w:numPr>
      </w:pPr>
      <w:r>
        <w:t xml:space="preserve">Ministarstvo znanosti, obrazovanja i mladih za putne naloge (Trepotec, Bojovski) - 91,50 eura</w:t>
      </w:r>
    </w:p>
    <w:p>
      <w:pPr>
        <w:pStyle w:val="ListParagraph"/>
        <w:numPr>
          <w:ilvl w:val="0"/>
          <w:numId w:val="4"/>
        </w:numPr>
      </w:pPr>
      <w:r>
        <w:t xml:space="preserve">Ministarstvo rada, mirovinskog sustava, obitelji i socijalne politike za higijenske potrebe - 207,00 eura</w:t>
      </w:r>
    </w:p>
    <w:p>
      <w:pPr>
        <w:pStyle w:val="ListParagraph"/>
        <w:numPr>
          <w:ilvl w:val="0"/>
          <w:numId w:val="4"/>
        </w:numPr>
      </w:pPr>
      <w:r>
        <w:t xml:space="preserve">Općina Kalinovac za materijalne rashode - 7.210,87 eura</w:t>
      </w:r>
    </w:p>
    <w:p>
      <w:pPr>
        <w:pStyle w:val="ListParagraph"/>
        <w:numPr>
          <w:ilvl w:val="0"/>
          <w:numId w:val="4"/>
        </w:numPr>
      </w:pPr>
      <w:r>
        <w:t xml:space="preserve">Školski športski savez Koprivničko-križevačke županije za sportska natjecanja - 891,23 eura</w:t>
      </w:r>
    </w:p>
    <w:p>
      <w:pPr>
        <w:pStyle w:val="ListParagraph"/>
        <w:numPr>
          <w:ilvl w:val="0"/>
          <w:numId w:val="4"/>
        </w:numPr>
      </w:pPr>
      <w:r>
        <w:t xml:space="preserve">OŠ Đurđevac za natjecanje - 84,00 eura</w:t>
      </w:r>
    </w:p>
    <w:p>
      <w:r>
        <w:t xml:space="preserve"> Izvor 5.3.:</w:t>
      </w:r>
    </w:p>
    <w:p>
      <w:pPr>
        <w:pStyle w:val="ListParagraph"/>
        <w:numPr>
          <w:ilvl w:val="0"/>
          <w:numId w:val="5"/>
        </w:numPr>
      </w:pPr>
      <w:r>
        <w:t xml:space="preserve">Ministarstvo znanosti, obrazovanja i mladih za plaće i materijalna prava zaposlenika - 678.946,91 eura</w:t>
      </w:r>
    </w:p>
    <w:p>
      <w:r>
        <w:t xml:space="preserve">Izvor 5.6.:</w:t>
      </w:r>
    </w:p>
    <w:p>
      <w:pPr>
        <w:pStyle w:val="ListParagraph"/>
        <w:numPr>
          <w:ilvl w:val="0"/>
          <w:numId w:val="6"/>
        </w:numPr>
      </w:pPr>
      <w:r>
        <w:t xml:space="preserve">EU Županija za šemu voća i mlijeka - 1.160,93 eura</w:t>
      </w:r>
    </w:p>
    <w:p>
      <w:r>
        <w:t xml:space="preserve">Izvor 4.5.:</w:t>
      </w:r>
    </w:p>
    <w:p>
      <w:pPr>
        <w:pStyle w:val="ListParagraph"/>
        <w:numPr>
          <w:ilvl w:val="0"/>
          <w:numId w:val="7"/>
        </w:numPr>
      </w:pPr>
      <w:r>
        <w:t xml:space="preserve">uplate zaposlenika - 981,54 eura</w:t>
      </w:r>
    </w:p>
    <w:p>
      <w:pPr>
        <w:pStyle w:val="ListParagraph"/>
        <w:numPr>
          <w:ilvl w:val="0"/>
          <w:numId w:val="7"/>
        </w:numPr>
      </w:pPr>
      <w:r>
        <w:t xml:space="preserve">uplate korisnika za najam dvorane - 637,12 eura</w:t>
      </w:r>
    </w:p>
    <w:p>
      <w:r>
        <w:t xml:space="preserve">Izvor 3.1.:</w:t>
      </w:r>
    </w:p>
    <w:p>
      <w:pPr>
        <w:pStyle w:val="ListParagraph"/>
        <w:numPr>
          <w:ilvl w:val="0"/>
          <w:numId w:val="8"/>
        </w:numPr>
      </w:pPr>
      <w:r>
        <w:t xml:space="preserve">D.S. Smith za otpadni papir - 143,00 eura</w:t>
      </w:r>
    </w:p>
    <w:p>
      <w:pPr>
        <w:pStyle w:val="ListParagraph"/>
        <w:numPr>
          <w:ilvl w:val="0"/>
          <w:numId w:val="8"/>
        </w:numPr>
      </w:pPr>
      <w:r>
        <w:t xml:space="preserve">HEP Opskrba za višak el.energije - 656,45 eura</w:t>
      </w:r>
    </w:p>
    <w:p>
      <w:r>
        <w:t xml:space="preserve">Izvor 6.3.:</w:t>
      </w:r>
    </w:p>
    <w:p>
      <w:pPr>
        <w:pStyle w:val="ListParagraph"/>
        <w:numPr>
          <w:ilvl w:val="0"/>
          <w:numId w:val="9"/>
        </w:numPr>
      </w:pPr>
      <w:r>
        <w:t xml:space="preserve">Donacije (putničke agencije za dnevnice pratiteljima i FRIŠ za baterije) - 1.265,66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712.249,33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831.292,19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Rashodi poslovanja za izvještajno razdoblje iznose 831.292,19 eura i za 16,7% su veći u odnosu na 2024. godinu. Tekući prijenosi između proračunskih korisnika iznose 72,82 eura a odnose se na uplate OŠ F.V.Šignjara Virje 53,25 eura i OŠ Gola 19,57 eura za međuopćinska natjecanja. Na računu 3722 Nagrade građanima i kućanstvima u naravi knjiženi su radni udžbenici nabavljeni za školsku godinu 2025./2026. u iznosu 5.230,90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7.063,08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11.124,53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iznose 11.124,53 eura i veći su za 57,5% u odnosu na prethodnu godinu. Nabavljeno je 5 komada prijenosnih računala u vrijednosti 2.599,78 eura, pokretna skela za dvoranu u iznosu 4.878,85 eura, zemljopisne karte 2 kom u vrijednosti 291,63 eura, stolić za laptop u vrijednosti 155,99 eura, rolo zavjese za 258,00 eura, uredske stolice 2 komada za 120,00 eura, rotaciona kosilica za 785,98 eura, multifunkcionalne ljestve u vrijednosti 252,00 eura, knjige za školsku knjižnicu u iznosu 791,11 eura i udžbenici koji nisu radni u vrijednosti 991,19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67.056,78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896,7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slijedećem razdoblju iznosi 67.056,78 eura a sastoji se od 7.478,48 eura manjka prenesenog iz 2024. godine i 59.578,30 eura manjka prihoda po izvorima financiranja ostvarenog u 2025. godini. Manjak će se podmiriti u mjesecu siječnju 2026. godine iz sredstava Ministarstva znanosti, obrazovanja i mladih  za plaće zaposlenika 58.817,71 euro, iz sredstava Ministarstva za prehranu za mjesec prosinac 2.161,25 eura, iz sredstava osnivača (metodološki manjak) 1.392,11 eura, iz općinskog proračuna i vlastitih prihoda 4.685,71 euro.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3.753.534,55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3.738.482,38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99,6</w:t>
            </w:r>
          </w:p>
        </w:tc>
      </w:tr>
    </w:tbl>
    <w:p>
      <w:pPr>
        <w:spacing w:before="0" w:after="0"/>
      </w:pPr>
    </w:p>
    <w:p>
      <w:r>
        <w:t xml:space="preserve">Ovu poziciju čini zbroj nefinancijske imovine (bilješka uz šifru B002) i financijske imovine ( biloješka uz šifru 1)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3.753.064,90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3.677.142,53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</w:t>
            </w:r>
          </w:p>
        </w:tc>
      </w:tr>
    </w:tbl>
    <w:p>
      <w:pPr>
        <w:spacing w:before="0" w:after="0"/>
      </w:pPr>
    </w:p>
    <w:p>
      <w:r>
        <w:t xml:space="preserve">U 2025. godini  kupljeno je 5 komada prijenosnih računala u vrijednosti 2.599,78 eura, pokretna skela za sportsku dvoranu u vrijednosti 4.878,85 eura, multifunkcionalne aluminijske ljestve u vrijednosti 252,00 eura, kosilicu u vrijednosti 785,98 eura, zemljopisne karte 2 komada, stolić za laptop, uredske stolice 2 kom, rolo zavjese, udžbenici koji nisu radni u vrijednosti 991,19 eura, šezdesetak lektirnih naslova u vrijednosti 791,11 eura. Od sitnog inventara kupljen je kompresor za zrak, suđe za školsku kuhinju, miševi za računala, 2 komada projektora i stalci za projektore. Vrijednost nabavljenog sitnog inventara je 961,03 eura. Na dan 31.12.2025. godine knjižen je ispravak vrijednosti školske zgrade, sportske dvorane, računala i računalne opreme, uređaja, strojeva i opreme, sportske opreme te knjiga u školskoj knjižnici u sveukupnom iznosu 86.055,71 euro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61.339,85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Financijsku imovinu u iznosu 61.339,85 eura čine potraživanja za bolovanje 48,09 eura, potraživanja za obračunatu plaću i materijalna prava zaposlenika za mjesec prosinac 2025. godine u iznosu 58.817,71 eura, potraživanja za fakture (za najam dvorane, prehranu zaposlenika u školskoj kuhinji i proizvedeni višak električne energije u 2025. godini ) u sveukupnom iznosu 2.474,05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67.104,87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887,6</w:t>
            </w:r>
          </w:p>
        </w:tc>
      </w:tr>
    </w:tbl>
    <w:p>
      <w:pPr>
        <w:spacing w:before="0" w:after="0"/>
      </w:pPr>
    </w:p>
    <w:p>
      <w:r>
        <w:t xml:space="preserve">U odnosu na prethodnu godinu indeks rasta obveza je 887,6% iz razloga jer je obračun plaće i materijalnih prava zaposlenika  za mjesec prosinac 2025. godine knjižena kao obveza na dan 31.12.2025.godine a ne na rashode budućeg razdoblja (193) kao do sada. Obveze u iznosu 67.104,87 eura čine obveze za zaposlene 60.023,49 eura, obveze prema dobavljačima za račune iz mjeseca prosinca 2025. godine 4.622,72 eura i obveze za povrat u proračun - manjak iz vlastitih sredstava 2.411,06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-7.478,48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-67.056,78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896,7</w:t>
            </w:r>
          </w:p>
        </w:tc>
      </w:tr>
    </w:tbl>
    <w:p>
      <w:pPr>
        <w:spacing w:before="0" w:after="0"/>
      </w:pPr>
    </w:p>
    <w:p>
      <w:r>
        <w:t xml:space="preserve">Manjak prihoda na kraju 2025. godine od 67.056,78 eura sastoji se od manjka prihoda tekuće godine u iznosu 59.578,30 eura i prenesenog manjka iz 2024. godine u iznosu od 7.478,48 eura. Provedena je korekcija rezultata na način da se za iznos 9.741,15 eura zadužuje višak prihoda poslovanja, a odobrava račun manjka prihoda poslovanja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Tuđa imovina dobivena na korištenje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7.678,09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7.678,09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Tuđa imovina dobivena na korištenje su 15 prijenosnih računala iz II. faze programa e-Škole.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719.312,41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842.416,72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r>
        <w:t xml:space="preserve">Ukupni rashodi za obrazovanje iznose 842.416,72 eura od čega su rashodi za osnovno obrazovanje 816.459,87 eura a rashodi prehrane u školskoj kuhinji iznose 25.956,85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86.055,71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86.055,71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Promjena u vrijednosti nefinancijske imovine odnosi se na knjigovodstveno evidentiranje obračuna ispravka vrijednosti za 2025. godinu u iznosu 86.055,71 eura.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dan 1. siječnja 2025. godine u iznosu 7.560,63 eura podmirene su tjekom godine u cijelosti.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846.895,49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Zbroj stanja obveza na dan 1. siječnja 2025. godine i povećanja obveza u izvještajnom razdoblju je veći od podmirenih obveza u izvještajnom razdoblju za iznos 67.104,87 eura, što je stanje obveza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67.104,87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kraju izvještajnog razdoblja su 67.104,87 eura i čine ih nedospjele obveze za zaposlene 58.903,67 eura, nedospjele obveze za materijalne rashode u iznosu 5.790,14 eura i obveze za negativan saldo podračuna u iznosu 2.411,06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 upisani su prihodi i rashodi za projekt Školska shema mlijeka i voća koja pripada u izvor 565 Europski poljoprivredni fond za ruralni razvoj.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5a2571b614227" /><Relationship Type="http://schemas.openxmlformats.org/officeDocument/2006/relationships/numbering" Target="/word/numbering.xml" Id="Rb8d4adff303e4530" /></Relationships>
</file>