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47" w:rsidRDefault="00EF5F47" w:rsidP="00EF5F47">
      <w:pPr>
        <w:pStyle w:val="box459190"/>
        <w:shd w:val="clear" w:color="auto" w:fill="FFFFFF"/>
        <w:spacing w:before="0" w:beforeAutospacing="0" w:after="48" w:afterAutospacing="0"/>
        <w:jc w:val="center"/>
        <w:rPr>
          <w:b/>
          <w:bCs/>
          <w:caps/>
          <w:color w:val="231F20"/>
          <w:sz w:val="43"/>
          <w:szCs w:val="43"/>
        </w:rPr>
      </w:pPr>
      <w:r>
        <w:rPr>
          <w:b/>
          <w:bCs/>
          <w:caps/>
          <w:color w:val="231F20"/>
          <w:sz w:val="43"/>
          <w:szCs w:val="43"/>
        </w:rPr>
        <w:t>HRVATSKI SABOR</w:t>
      </w:r>
    </w:p>
    <w:p w:rsidR="00EF5F47" w:rsidRDefault="00EF5F47" w:rsidP="00EF5F47">
      <w:pPr>
        <w:pStyle w:val="box459190"/>
        <w:shd w:val="clear" w:color="auto" w:fill="FFFFFF"/>
        <w:spacing w:before="0" w:beforeAutospacing="0" w:after="48" w:afterAutospacing="0"/>
        <w:jc w:val="right"/>
        <w:rPr>
          <w:b/>
          <w:bCs/>
          <w:color w:val="231F20"/>
          <w:sz w:val="29"/>
          <w:szCs w:val="29"/>
        </w:rPr>
      </w:pPr>
      <w:r>
        <w:rPr>
          <w:b/>
          <w:bCs/>
          <w:color w:val="231F20"/>
          <w:sz w:val="29"/>
          <w:szCs w:val="29"/>
        </w:rPr>
        <w:t>2288</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Na temelju članka 89. Ustava Republike Hrvatske, donosim</w:t>
      </w:r>
    </w:p>
    <w:p w:rsidR="00EF5F47" w:rsidRDefault="00EF5F47" w:rsidP="00EF5F47">
      <w:pPr>
        <w:pStyle w:val="box459190"/>
        <w:shd w:val="clear" w:color="auto" w:fill="FFFFFF"/>
        <w:spacing w:before="153" w:beforeAutospacing="0" w:after="0" w:afterAutospacing="0"/>
        <w:jc w:val="center"/>
        <w:rPr>
          <w:b/>
          <w:bCs/>
          <w:color w:val="231F20"/>
          <w:sz w:val="38"/>
          <w:szCs w:val="38"/>
        </w:rPr>
      </w:pPr>
      <w:r>
        <w:rPr>
          <w:b/>
          <w:bCs/>
          <w:color w:val="231F20"/>
          <w:sz w:val="38"/>
          <w:szCs w:val="38"/>
        </w:rPr>
        <w:t>ODLUKU</w:t>
      </w:r>
    </w:p>
    <w:p w:rsidR="00EF5F47" w:rsidRDefault="00EF5F47" w:rsidP="00EF5F47">
      <w:pPr>
        <w:pStyle w:val="box459190"/>
        <w:shd w:val="clear" w:color="auto" w:fill="FFFFFF"/>
        <w:spacing w:before="68" w:beforeAutospacing="0" w:after="72" w:afterAutospacing="0"/>
        <w:jc w:val="center"/>
        <w:rPr>
          <w:b/>
          <w:bCs/>
          <w:color w:val="231F20"/>
          <w:sz w:val="29"/>
          <w:szCs w:val="29"/>
        </w:rPr>
      </w:pPr>
      <w:r>
        <w:rPr>
          <w:b/>
          <w:bCs/>
          <w:color w:val="231F20"/>
          <w:sz w:val="29"/>
          <w:szCs w:val="29"/>
        </w:rPr>
        <w:t>O PROGLAŠENJU ZAKONA O UDŽBENICIMA I DRUGIM OBRAZOVNIM MATERIJALIMA ZA OSNOVNU I SREDNJU ŠKOLU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Proglašavam Zakon o udžbenicima i drugim obrazovnim materijalima za osnovnu i srednju školu, koji je Hrvatski sabor donio na sjednici 14. prosinca 2018.</w:t>
      </w:r>
    </w:p>
    <w:p w:rsidR="00EF5F47" w:rsidRDefault="00EF5F47" w:rsidP="00EF5F47">
      <w:pPr>
        <w:pStyle w:val="box459190"/>
        <w:shd w:val="clear" w:color="auto" w:fill="FFFFFF"/>
        <w:spacing w:before="0" w:beforeAutospacing="0" w:after="0" w:afterAutospacing="0"/>
        <w:ind w:left="408"/>
        <w:rPr>
          <w:color w:val="231F20"/>
        </w:rPr>
      </w:pPr>
      <w:r>
        <w:rPr>
          <w:color w:val="231F20"/>
        </w:rPr>
        <w:t>Klasa: 011-01/18-01/220</w:t>
      </w:r>
    </w:p>
    <w:p w:rsidR="00EF5F47" w:rsidRDefault="00EF5F47" w:rsidP="00EF5F47">
      <w:pPr>
        <w:pStyle w:val="box459190"/>
        <w:shd w:val="clear" w:color="auto" w:fill="FFFFFF"/>
        <w:spacing w:before="0" w:beforeAutospacing="0" w:after="0" w:afterAutospacing="0"/>
        <w:ind w:left="408"/>
        <w:rPr>
          <w:color w:val="231F20"/>
        </w:rPr>
      </w:pPr>
      <w:r>
        <w:rPr>
          <w:color w:val="231F20"/>
        </w:rPr>
        <w:t>Urbroj: 71-06-01/1-18-2</w:t>
      </w:r>
    </w:p>
    <w:p w:rsidR="00EF5F47" w:rsidRDefault="00EF5F47" w:rsidP="00EF5F47">
      <w:pPr>
        <w:pStyle w:val="box459190"/>
        <w:shd w:val="clear" w:color="auto" w:fill="FFFFFF"/>
        <w:spacing w:before="0" w:beforeAutospacing="0" w:after="0" w:afterAutospacing="0"/>
        <w:ind w:left="408"/>
        <w:rPr>
          <w:color w:val="231F20"/>
        </w:rPr>
      </w:pPr>
      <w:r>
        <w:rPr>
          <w:color w:val="231F20"/>
        </w:rPr>
        <w:t>Zagreb, 19. prosinca 2018.</w:t>
      </w:r>
    </w:p>
    <w:p w:rsidR="00EF5F47" w:rsidRDefault="00EF5F47" w:rsidP="00EF5F47">
      <w:pPr>
        <w:pStyle w:val="box459190"/>
        <w:shd w:val="clear" w:color="auto" w:fill="FFFFFF"/>
        <w:spacing w:before="27" w:beforeAutospacing="0" w:after="48" w:afterAutospacing="0"/>
        <w:ind w:left="2712"/>
        <w:jc w:val="center"/>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r>
        <w:rPr>
          <w:rStyle w:val="bold"/>
          <w:rFonts w:ascii="Minion Pro" w:hAnsi="Minion Pro"/>
          <w:b/>
          <w:bCs/>
          <w:color w:val="231F20"/>
        </w:rPr>
        <w:t>Kolinda Grabar-Kitarović, </w:t>
      </w:r>
      <w:r>
        <w:rPr>
          <w:color w:val="231F20"/>
        </w:rPr>
        <w:t>v. r.</w:t>
      </w:r>
    </w:p>
    <w:p w:rsidR="00EF5F47" w:rsidRDefault="00EF5F47" w:rsidP="00EF5F47">
      <w:pPr>
        <w:pStyle w:val="box459190"/>
        <w:shd w:val="clear" w:color="auto" w:fill="FFFFFF"/>
        <w:spacing w:before="153" w:beforeAutospacing="0" w:after="0" w:afterAutospacing="0"/>
        <w:jc w:val="center"/>
        <w:rPr>
          <w:b/>
          <w:bCs/>
          <w:color w:val="231F20"/>
          <w:sz w:val="38"/>
          <w:szCs w:val="38"/>
        </w:rPr>
      </w:pPr>
      <w:r>
        <w:rPr>
          <w:b/>
          <w:bCs/>
          <w:color w:val="231F20"/>
          <w:sz w:val="38"/>
          <w:szCs w:val="38"/>
        </w:rPr>
        <w:t>ZAKON</w:t>
      </w:r>
    </w:p>
    <w:p w:rsidR="00EF5F47" w:rsidRDefault="00EF5F47" w:rsidP="00EF5F47">
      <w:pPr>
        <w:pStyle w:val="box459190"/>
        <w:shd w:val="clear" w:color="auto" w:fill="FFFFFF"/>
        <w:spacing w:before="68" w:beforeAutospacing="0" w:after="72" w:afterAutospacing="0"/>
        <w:jc w:val="center"/>
        <w:rPr>
          <w:b/>
          <w:bCs/>
          <w:color w:val="231F20"/>
          <w:sz w:val="29"/>
          <w:szCs w:val="29"/>
        </w:rPr>
      </w:pPr>
      <w:r>
        <w:rPr>
          <w:b/>
          <w:bCs/>
          <w:color w:val="231F20"/>
          <w:sz w:val="29"/>
          <w:szCs w:val="29"/>
        </w:rPr>
        <w:t>O UDŽBENICIMA I DRUGIM OBRAZOVNIM MATERIJALIMA ZA OSNOVNU I SREDNJU ŠKOLU</w:t>
      </w:r>
    </w:p>
    <w:p w:rsidR="00EF5F47" w:rsidRDefault="00EF5F47" w:rsidP="00EF5F47">
      <w:pPr>
        <w:pStyle w:val="box459190"/>
        <w:shd w:val="clear" w:color="auto" w:fill="FFFFFF"/>
        <w:spacing w:before="204" w:beforeAutospacing="0" w:after="72" w:afterAutospacing="0"/>
        <w:jc w:val="center"/>
        <w:rPr>
          <w:color w:val="231F20"/>
          <w:sz w:val="26"/>
          <w:szCs w:val="26"/>
        </w:rPr>
      </w:pPr>
      <w:r>
        <w:rPr>
          <w:color w:val="231F20"/>
          <w:sz w:val="26"/>
          <w:szCs w:val="26"/>
        </w:rPr>
        <w:t>I . OPĆE ODREDBE</w:t>
      </w:r>
    </w:p>
    <w:p w:rsidR="00EF5F47" w:rsidRDefault="00EF5F47" w:rsidP="00EF5F47">
      <w:pPr>
        <w:pStyle w:val="box459190"/>
        <w:shd w:val="clear" w:color="auto" w:fill="FFFFFF"/>
        <w:spacing w:before="68" w:beforeAutospacing="0" w:after="72" w:afterAutospacing="0"/>
        <w:jc w:val="center"/>
        <w:rPr>
          <w:i/>
          <w:iCs/>
          <w:color w:val="231F20"/>
          <w:sz w:val="26"/>
          <w:szCs w:val="26"/>
        </w:rPr>
      </w:pPr>
      <w:r>
        <w:rPr>
          <w:i/>
          <w:iCs/>
          <w:color w:val="231F20"/>
          <w:sz w:val="26"/>
          <w:szCs w:val="26"/>
        </w:rPr>
        <w:t>Predmet Zakona</w:t>
      </w:r>
    </w:p>
    <w:p w:rsidR="00EF5F47" w:rsidRDefault="00EF5F47" w:rsidP="00EF5F47">
      <w:pPr>
        <w:pStyle w:val="box459190"/>
        <w:shd w:val="clear" w:color="auto" w:fill="FFFFFF"/>
        <w:spacing w:before="34" w:beforeAutospacing="0" w:after="48" w:afterAutospacing="0"/>
        <w:jc w:val="center"/>
        <w:rPr>
          <w:color w:val="231F20"/>
        </w:rPr>
      </w:pPr>
      <w:r>
        <w:rPr>
          <w:color w:val="231F20"/>
        </w:rPr>
        <w:t>Članak 1.</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Ovim se Zakonom uređuje postupak odobravanja, uvrštavanja u katalog, izbora i povlačenja iz uporabe udžbenika i drugih obrazovnih materijala za učenike osnovnih i srednjih škola.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2.</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Izrazi koji se koriste u ovome Zakonu, a imaju rodno značenje, odnose se jednako na muški i ženski rod.</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Udžbenik</w:t>
      </w:r>
    </w:p>
    <w:p w:rsidR="00EF5F47" w:rsidRDefault="00EF5F47" w:rsidP="00EF5F47">
      <w:pPr>
        <w:pStyle w:val="box459190"/>
        <w:shd w:val="clear" w:color="auto" w:fill="FFFFFF"/>
        <w:spacing w:before="34" w:beforeAutospacing="0" w:after="48" w:afterAutospacing="0"/>
        <w:jc w:val="center"/>
        <w:rPr>
          <w:color w:val="231F20"/>
        </w:rPr>
      </w:pPr>
      <w:r>
        <w:rPr>
          <w:color w:val="231F20"/>
        </w:rPr>
        <w:t>Članak 3.</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Udžbenik je obvezni obrazovni materijal u svim predmetima, izuzev predmeta s pretežno odgojnom komponentom, koji služi kao cjelovit izvor za ostvarivanje svih odgojno-obrazovnih ishoda utvrđenih predmetnim kurikulumom, kao i očekivanja međupredmetnih tema za pojedini razred i predmet. Sadržaj i struktura udžbenika mora omogućavati učenicima samostalno učenje i stjecanje različitih razina i vrsta kompetencija, kao i vrednovanje usvojenosti odgojno-obrazovnih ishoda i očekivanja međupredmetnih tema.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U smislu ovoga Zakona, predmetima s pretežno odgojnom komponentom smatraju se likovna, glazbena, tehnička te tjelesna i zdravstvena kultura.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Najveća dopuštena cijena i masa udžbenika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4.</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Najveća dopuštena cijena udžbenika u osnovnoj školi računa se prema sljedećoj formuli: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(satnica predmeta / ukupna satnica) * f * 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pri čemu 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f – faktor koji za 1. – 4. razreda osnovne škole iznosi 0,1, za 5. i 6. razred iznosi 0,14, za 7. i 8. razred iznosi 0,155.</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M – medijalna neto plaća u Republici Hrvatskoj prema zadnjem izvješću Državnog zavoda za statistiku objavljenom do datuma objave javnog poziva.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Za udžbenike koji se sastoje od tiskanog i elektroničkog dijela udio cijene elektroničkog dijela udžbenika uređuje ministar pravilnikom sukladno komponentama elektroničkog udžbenika iz članka 3. stavka 6.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Ministar može odobriti korekciju cijene za elektroničke udžbenike ili elektroničke dijelove udžbenika koji su u Katalogu odobrenih udžbenika (u daljnjem tekstu: Katalog) ako su kumulativno ispunjeni sljedeći uvjeti: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je udžbenik u uporabi najmanje jednu nastavnu godinu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je udžbenik izmijenjen sukladno članku 3. stavku 4.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je došlo do promjene medijalne neto plaće u Republici Hrvatskoj za više od 10 %.</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Najveća dopuštena masa udžbenika u osnovnoj školi računa se prema sljedećoj formuli: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(satnica predmeta / ukupna satnica) * 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pri čemu 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m – najveća dopuštena masa svih obveznih udžbenika, koja za 1. – 4. razreda osnovne škole iznosi 3 kg, za 5. i 6. razred 5 kg, za 7. i 8. razred 6 kg.</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Ukupna satnica u formulama iz stavaka 1. i 4. ovoga članka odnosi se na ukupnu satnicu obveznih predmeta u pojedinom razredu osnovne škole.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(6) Najveća dopuštena cijena i masa udžbenika iz stavaka 1. i 4. ovoga članka ne odnosi se na udžbenike prilagođene za učenike s poteškoćama.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(7) Najveća dopuštena masa udžbenika iz stavka 4. ovoga članka ne odnosi se na udžbenike za nastavu na jeziku i pismu nacionalnih manjina uvezene iz države matičnog naroda.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Ograničenja za udžbenike</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5.</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Dužnosnici i službenici ministarstva nadležnog za obrazovanje te službenici ustanove za vanjsko vrednovanje obrazovanja i ustanova nadležnih za sustav odgoja i obrazovanja ne mogu biti autori, urednici niti recenzenti udžbenika.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Udžbenici i drugi obrazovni materijali ne smiju sadržavati promidžbeni materijal.</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EF5F47" w:rsidRDefault="00EF5F47" w:rsidP="00EF5F47">
      <w:pPr>
        <w:pStyle w:val="box459190"/>
        <w:shd w:val="clear" w:color="auto" w:fill="FFFFFF"/>
        <w:spacing w:before="204" w:beforeAutospacing="0" w:after="72" w:afterAutospacing="0"/>
        <w:jc w:val="center"/>
        <w:rPr>
          <w:color w:val="231F20"/>
          <w:sz w:val="26"/>
          <w:szCs w:val="26"/>
        </w:rPr>
      </w:pPr>
      <w:r>
        <w:rPr>
          <w:color w:val="231F20"/>
          <w:sz w:val="26"/>
          <w:szCs w:val="26"/>
        </w:rPr>
        <w:t>II. POSTUPAK UVRŠTAVANJA UDŽBENIKA U KATALOG ODOBRENIH UDŽBENIKA I ODABIR UDŽBENIKA</w:t>
      </w:r>
    </w:p>
    <w:p w:rsidR="00EF5F47" w:rsidRDefault="00EF5F47" w:rsidP="00EF5F47">
      <w:pPr>
        <w:pStyle w:val="box459190"/>
        <w:shd w:val="clear" w:color="auto" w:fill="FFFFFF"/>
        <w:spacing w:before="68" w:beforeAutospacing="0" w:after="72" w:afterAutospacing="0"/>
        <w:jc w:val="center"/>
        <w:rPr>
          <w:i/>
          <w:iCs/>
          <w:color w:val="231F20"/>
          <w:sz w:val="26"/>
          <w:szCs w:val="26"/>
        </w:rPr>
      </w:pPr>
      <w:r>
        <w:rPr>
          <w:i/>
          <w:iCs/>
          <w:color w:val="231F20"/>
          <w:sz w:val="26"/>
          <w:szCs w:val="26"/>
        </w:rPr>
        <w:t>Javni poziv</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6.</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Ministarstvo nadležno za obrazovanje (u daljnjem tekstu: Ministarstvo) namjeru izmjene Kataloga iskazuje javnim pozivom u kojem se navodi za koje se udžbenike mogu podnijeti prijave.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Katalog za pojedini razred i predmet može se izmijeniti nakon što su udžbenici u uporabi najmanje četiri godine, osim ako izmjene kurikuluma ne zahtijevaju raniju izmjenu.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Na javni poziv iz stavka 1. ovoga članka može se javiti svaka pravna osoba registrirana za nakladničku ili izdavačku djelatnost (u daljnjem tekstu: podnositelj).</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Rok za podnošenje prijave na javni poziv ne može biti kraći od 90 dana od dana objave poziva.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Uz prijavu iz stavka 4. ovoga članka podnositelj prilaže: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pristup elektroničkom udžbeniku za četiri osobe i/ili četiri primjerka tiskanog udžbenika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sažeti prikaz koncepcije udžbenika s naznakama sadržajno-metodičkih uporišta na kojima se udžbenik temelji u pristupu razvoju učeničkih kompetencija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sažetak metodičke i stručne recenzije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izjavu o jezičnoj i grafičkoj uređenosti teksta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izjavu odgovorne osobe da odgovara za sve pogreške koje se pojave u udžbeniku te da će ih otkloniti o vlastitom trošku.</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Stručna procjena i odobravanje udžbenika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7.</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(1) Postupak utvrđivanja usklađenosti udžbenika s predmetnim kurikulumom i međupredmetnim temama te pravilnikom iz članka 3. stavka 6. ovoga Zakona provode stručna povjerenstva koja imenuje ministar.</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Radi sprječavanja sukoba interesa, član stručnog povjerenstva prije početka rada potpisuje izjavu da nije autor udžbenika te da nije rodbinski ili poslovno povezan s autorom odnosno podnositeljem.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U smislu odredbe stavka 2. ovoga članka smatrat će se da je član stručnog povjerenstva rodbinski povezan s autorom odnosno s podnositeljem ako su u bračnoj ili izvanbračnoj vezi, srodnici po krvi u uspravnoj lozi, posvojitelj i posvojenik ili srodnici u pobočnoj lozi do drugog stupnja.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Sastav stručnih povjerenstava iz stavka 1. ovoga članka je tajan, a način rada, postupak i kriterije za odabir članova propisuje ministar pravilnikom.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(6) Nakon završetka postupka odobravanja udžbenika lista članova stručnih povjerenstava poredanih abecednim redom bit će objavljena na mrežnim stranicama Ministarstva.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Rad stručnog povjerenstva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8.</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Stručno povjerenstvo nakon zaprimanja prijave iz članka 6. ovoga Zakona donosi stručno mišljenje o usklađenosti udžbenika s predmetnim kurikulumom i pravilnikom iz članka 3. stavka 6. ovoga Zakona, najkasnije 90 dana od dana zaprimanja prijave.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Nedostatke je podnositelj dužan ispraviti i dostaviti udžbenik Ministarstvu u roku od 15 dana od dana dostave na doradu.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Na temelju negativnog mišljenja stručnog povjerenstva ministar donosi rješenje o odbijanju odobravanja korištenja udžbenika i neuvrštavanju u Katalog.</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(6) Na temelju pozitivnog mišljenja stručnog povjerenstva ministar donosi rješenje o odobravanju korištenja udžbenika u školi i uvrštavanju udžbenika u Katalog.</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(7) Protiv rješenja iz stavaka 5. i 6. ovoga članka žalba nije dopuštena, ali se može pokrenuti upravni spor.</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Uvrštavanje udžbenika u Katalog</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9.</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U Katalog se uvrštavaju samo udžbenici kojima je rješenjem ministra odobreno korištenje u školi.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Katalog sadrži: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 naslov udžbenika, ime i prezime autora odnosno skupine autora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imena recenzenta koji je proveo metodičku i stručnu recenziju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podatak o rednom broju i godini izdanja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puni naziv pravne osobe nakladnika ili izdavača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nastavni predmet, razred, vrstu škole i program za koju je udžbenik odobren</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masu tiskanog udžbenika u gramima (g)</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konačnu maloprodajnu cijenu udžbenika uz istaknuti postotak cijene elektroničkog dijela.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Svi podaci iz stavka 2. ovoga članka moraju biti naznačeni i u impresumu udžbenika.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Ministarstvo na svojim mrežnim stranicama objavljuje izmjene Kataloga najkasnije do 1. lipnja.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Odabir udžbenika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10.</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U školi mogu biti u uporabi samo udžbenici koji se nalaze u Katalogu.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Odabir udžbenika za uporabu u školi provodi se u godini u kojoj se mijenja Katalog, i to samo za one predmete i razrede za koje je odobren novi udžbenik i uvršten u Katalog.</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Odluku o odabiru udžbenika u razrednoj nastavi donose učitelji razredne nastave na način koji osigurava višegodišnje korištenje udžbenika unutar škole, osim u slučaju udžbenika radnog karaktera utvrđenog člankom 3. stavkom 5.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Odluke iz stavaka 3. i 4. ovoga članka sadrže popis odabranih udžbenika iz Kataloga za razrede i predmete za koje je te godine odobren novi udžbenik i uvršten u Katalog, kao i eventualne izmjene u odabiru udžbenika s radnim karakterom.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(6) Odluke iz stavaka 3. i 4. ovoga članka škola dostavlja Ministarstvu i objavljuje na svojim mrežnim stranicama najkasnije do 1. srpnja. Objedinjene liste odabranih udžbenika Ministarstvo objavljuje na svojim mrežnim stranicama.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(7) Podnositelj je obvezan najkasnije do 15. kolovoza osigurati dostupnost odabranih udžbenika.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(8) Ministar će odobriti izvanredni odabir udžbenika onim školama koje su odabrale udžbenik koji nije dostupan sukladno stavku 7. ovoga članka ili je izbrisan iz Kataloga sukladno članku 15. ovoga Zakona.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Nacionalne manjine</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11.</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U nastavi na jeziku i pismu nacionalnih manjina mogu se koristiti udžbenici izrađeni na jeziku i pismu nacionalne manjine odnosno udžbenici koji su prevedeni na jezik i pismo nacionalne manjine.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Postupak odobravanja udžbenika iz stavka 1. ovoga članka provodi se sukladno odredbama članaka 6., 7., 8. i 9.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Kada za pojedini nastavni predmet ne postoji udžbenik iz stavka 1. ovoga članka, u nastavi se mogu koristiti udžbenici uvezeni iz države matičnog naroda.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Prilagodba udžbenika za učenike s posebnim</w:t>
      </w:r>
      <w:r>
        <w:rPr>
          <w:rFonts w:ascii="Minion Pro" w:hAnsi="Minion Pro"/>
          <w:i/>
          <w:iCs/>
          <w:color w:val="231F20"/>
          <w:sz w:val="26"/>
          <w:szCs w:val="26"/>
        </w:rPr>
        <w:br/>
      </w:r>
      <w:r>
        <w:rPr>
          <w:i/>
          <w:iCs/>
          <w:color w:val="231F20"/>
          <w:sz w:val="26"/>
          <w:szCs w:val="26"/>
        </w:rPr>
        <w:t>odgojno-obrazovnim potrebama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12.</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U izvođenju nastave s učenicima s teškoćama u razvoju ili darovitim učenicima mogu se koristiti prilagođeni udžbenici.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Prijave za odobravanje korištenja udžbenika iz stavka 1. ovoga članka mogu se podnositi svake godine neovisno o javnom pozivu, i to najkasnije do 1. ožujka.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Postupak odobravanja udžbenika iz stavka 1. ovoga članka provodi se sukladno odredbama članaka 6., 7., 8. i 9. ovoga Zakona.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Eksperimentalni program</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13.</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Odredbe ovoga Zakona ne odnose se na uporabu udžbenika pri provedbi eksperimentalnih programa u školama.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Za potrebu primjene udžbenika u školama koje provode eksperimentalne programe ministar može donijeti smjernice koje sadrže proceduru odabira navedenih udžbenika.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Sufinanciranje udžbenika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14.</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Sredstva za nabavu udžbenika za učenike osnovnih škola osiguravaju se u državnom proračunu.</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Vlada Republike Hrvatske može, sukladno raspoloživim financijskim sredstvima, za svaku školsku godinu odlučiti o financiranju odnosno sufinanciranju nabave udžbenika za učenike srednjih škola.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Vlada Republike Hrvatske može, sukladno raspoloživim financijskim sredstvima, za svaku školsku godinu odlučiti o financiranju odnosno sufinanciranju nabave drugih obrazovnih materijala.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Udžbenici i drugi obrazovni materijali financirani sredstvima državnog proračuna, sukladno ovom članku, vlasništvo su škole.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Način uporabe, vraćanja i obnavljanja udžbenika i drugih obrazovnih materijala financiranih sredstvima državnog proračuna, sukladno ovom članku, propisuje ministar naputkom.</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Brisanje udžbenika iz Kataloga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15.</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Ministarstvo će po službenoj dužnosti ili na zahtjev podnositelja pokrenuti postupak brisanja udžbenika iz Kataloga: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se utvrdi da udžbenik više nije usklađen sa suvremenim znanstvenim spoznajama i znanstvenim teorijama globalno prihvaćenim unutar znanstvene zajednice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nije usklađen s predmetnim kurikulumom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nije usklađen s Pravilnikom iz članka 3. stavka 6.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 ako se utvrdi da udžbenik sadrži netočne i zastarjele podatke koji bitno utječu na vjerodostojnost sadržaja i koji upućuju učenike na pogrešne zaključke ili otežavaju stjecanje znanja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udžbenik više nije dostupan.</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O brisanju udžbenika iz Kataloga u slučajevima iz stavka 1. ovoga članka ministar odlučuje rješenjem, na temelju mišljenja stručnog povjerenstva iz članka 7. ovoga Zakona ili agencije nadležne za obrazovanje.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Protiv rješenja iz stavka 2. ovoga članka žalba nije dopuštena, ali se može pokrenuti upravni spor.</w:t>
      </w:r>
    </w:p>
    <w:p w:rsidR="00EF5F47" w:rsidRDefault="00EF5F47" w:rsidP="00EF5F47">
      <w:pPr>
        <w:pStyle w:val="box459190"/>
        <w:shd w:val="clear" w:color="auto" w:fill="FFFFFF"/>
        <w:spacing w:before="204" w:beforeAutospacing="0" w:after="72" w:afterAutospacing="0"/>
        <w:jc w:val="center"/>
        <w:rPr>
          <w:color w:val="231F20"/>
          <w:sz w:val="26"/>
          <w:szCs w:val="26"/>
        </w:rPr>
      </w:pPr>
      <w:r>
        <w:rPr>
          <w:color w:val="231F20"/>
          <w:sz w:val="26"/>
          <w:szCs w:val="26"/>
        </w:rPr>
        <w:t>III. DRUGI OBRAZOVNI MATERIJALI</w:t>
      </w:r>
    </w:p>
    <w:p w:rsidR="00EF5F47" w:rsidRDefault="00EF5F47" w:rsidP="00EF5F47">
      <w:pPr>
        <w:pStyle w:val="box459190"/>
        <w:shd w:val="clear" w:color="auto" w:fill="FFFFFF"/>
        <w:spacing w:before="68" w:beforeAutospacing="0" w:after="72" w:afterAutospacing="0"/>
        <w:jc w:val="center"/>
        <w:rPr>
          <w:i/>
          <w:iCs/>
          <w:color w:val="231F20"/>
          <w:sz w:val="26"/>
          <w:szCs w:val="26"/>
        </w:rPr>
      </w:pPr>
      <w:r>
        <w:rPr>
          <w:i/>
          <w:iCs/>
          <w:color w:val="231F20"/>
          <w:sz w:val="26"/>
          <w:szCs w:val="26"/>
        </w:rPr>
        <w:t>Drugi obrazovni materijali</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16.</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Osim udžbenika, u školi mogu biti u uporabi i nastavna sredstva (tiskana, digitalna ili fizička) koja pomažu u ostvarivanju pojedinih odgojno-obrazovnih ishoda utvrđenih predmetnim kurikulumom, kao i očekivanja međupredmetnih tema, potiču interakciju učenik – učenik i/ili učenik – sadržaj te istraživački i/ili grupni rad (u daljnjem tekstu: drugi obrazovni materijali).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Pravne osobe koje nude komercijalne druge obrazovne materijale dužne su podnijeti zahtjev za objavu komercijalnih drugih obrazovnih materijala u virtualni repozitorij obrazovnih materijala koji utvrđuje ministar odlukom.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Pravne i fizičke osobe koje nude besplatne druge obrazovne materijale mogu podnijeti zahtjev za objavu besplatnih drugih obrazovnih materijala u virtualni repozitorij obrazovnih materijala.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(5) Dužnosnici i službenici Ministarstva te službenici ustanove za vanjsko vrednovanje obrazovanja i ustanova nadležnih za sustav odgoja i obrazovanja ne mogu biti autori niti urednici drugih obrazovnih materijala.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(6) Odluku o korištenju komercijalnih drugih obrazovnih materijala donosi škola i objavljuje na svojim mrežnim stranicama najkasnije do 15. srpnja. Komercijalni materijali izabiru se isključivo iz virtualnog repozitorija.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(9) U ukupnu cijenu iz stavka 8. ovoga članka ne ulaze materijali za predmete s pretežno odgojnom komponentom i izborne predmete.</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međupredmetnih tema odgovorna je škola.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(11) Ako se pojavi sumnja da drugi obrazovni materijali nisu u skladu sa znanstvenim načelima i etičkim normama, kao i da nisu pedagoški, psihološki i didaktičko-metodički primjereni za korištenje u nastavi te da nisu u skladu s ishodima kurikuluma i očekivanjima međupredmetnih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(13) Način rada, postupak i kriterije za odabir članova povjerenstava iz stavka 4. ovoga članka propisuje ministar pravilnikom.</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17.</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Ako u Katalogu za neki predmet ne postoji odobreni udžbenik, u školi se umjesto udžbenika može koristiti drugi obrazovni materijal.</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Utjecaj na odabir udžbenika i drugih obrazovnih materijala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18.</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Ograničenja iz stavaka 1. i 2. ovoga članka primjenjuju se trajno odnosno i u vrijeme kada se ne provode postupci odobravanja udžbenika regulirani ovim Zakonom.</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(4) Donacijama i drugim oblicima materijalnih potpora ne smatraju se stručna usavršavanja u trajanju od jednog dana niti promotivni pokloni vrijednosti koja ne prelazi 100 kuna po osobi.</w:t>
      </w:r>
    </w:p>
    <w:p w:rsidR="00EF5F47" w:rsidRDefault="00EF5F47" w:rsidP="00EF5F47">
      <w:pPr>
        <w:pStyle w:val="box459190"/>
        <w:shd w:val="clear" w:color="auto" w:fill="FFFFFF"/>
        <w:spacing w:before="204" w:beforeAutospacing="0" w:after="72" w:afterAutospacing="0"/>
        <w:jc w:val="center"/>
        <w:rPr>
          <w:color w:val="231F20"/>
          <w:sz w:val="26"/>
          <w:szCs w:val="26"/>
        </w:rPr>
      </w:pPr>
      <w:r>
        <w:rPr>
          <w:color w:val="231F20"/>
          <w:sz w:val="26"/>
          <w:szCs w:val="26"/>
        </w:rPr>
        <w:t>IV. NADZOR I PREKRŠAJNE ODREDBE</w:t>
      </w:r>
    </w:p>
    <w:p w:rsidR="00EF5F47" w:rsidRDefault="00EF5F47" w:rsidP="00EF5F47">
      <w:pPr>
        <w:pStyle w:val="box459190"/>
        <w:shd w:val="clear" w:color="auto" w:fill="FFFFFF"/>
        <w:spacing w:before="68" w:beforeAutospacing="0" w:after="72" w:afterAutospacing="0"/>
        <w:jc w:val="center"/>
        <w:rPr>
          <w:i/>
          <w:iCs/>
          <w:color w:val="231F20"/>
          <w:sz w:val="26"/>
          <w:szCs w:val="26"/>
        </w:rPr>
      </w:pPr>
      <w:r>
        <w:rPr>
          <w:i/>
          <w:iCs/>
          <w:color w:val="231F20"/>
          <w:sz w:val="26"/>
          <w:szCs w:val="26"/>
        </w:rPr>
        <w:t>Nadzor</w:t>
      </w:r>
    </w:p>
    <w:p w:rsidR="00EF5F47" w:rsidRDefault="00EF5F47" w:rsidP="00EF5F47">
      <w:pPr>
        <w:pStyle w:val="box459190"/>
        <w:shd w:val="clear" w:color="auto" w:fill="FFFFFF"/>
        <w:spacing w:before="34" w:beforeAutospacing="0" w:after="48" w:afterAutospacing="0"/>
        <w:jc w:val="center"/>
        <w:rPr>
          <w:color w:val="231F20"/>
        </w:rPr>
      </w:pPr>
      <w:r>
        <w:rPr>
          <w:color w:val="231F20"/>
        </w:rPr>
        <w:t>Članak 19.</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Inspekcijski nadzor nad provedbom ovoga Zakona provodi prosvjetna inspekcija Ministarstva.</w:t>
      </w:r>
    </w:p>
    <w:p w:rsidR="00EF5F47" w:rsidRDefault="00EF5F47" w:rsidP="00EF5F47">
      <w:pPr>
        <w:pStyle w:val="box459190"/>
        <w:shd w:val="clear" w:color="auto" w:fill="FFFFFF"/>
        <w:spacing w:before="204" w:beforeAutospacing="0" w:after="72" w:afterAutospacing="0"/>
        <w:jc w:val="center"/>
        <w:rPr>
          <w:i/>
          <w:iCs/>
          <w:color w:val="231F20"/>
          <w:sz w:val="26"/>
          <w:szCs w:val="26"/>
        </w:rPr>
      </w:pPr>
      <w:r>
        <w:rPr>
          <w:i/>
          <w:iCs/>
          <w:color w:val="231F20"/>
          <w:sz w:val="26"/>
          <w:szCs w:val="26"/>
        </w:rPr>
        <w:t>Prekršajne odredbe</w:t>
      </w:r>
    </w:p>
    <w:p w:rsidR="00EF5F47" w:rsidRDefault="00EF5F47" w:rsidP="00EF5F47">
      <w:pPr>
        <w:pStyle w:val="box459190"/>
        <w:shd w:val="clear" w:color="auto" w:fill="FFFFFF"/>
        <w:spacing w:before="34" w:beforeAutospacing="0" w:after="48" w:afterAutospacing="0"/>
        <w:jc w:val="center"/>
        <w:rPr>
          <w:color w:val="231F20"/>
        </w:rPr>
      </w:pPr>
      <w:r>
        <w:rPr>
          <w:color w:val="231F20"/>
        </w:rPr>
        <w:t>Članak 20.</w:t>
      </w:r>
    </w:p>
    <w:p w:rsidR="00EF5F47" w:rsidRDefault="00EF5F47" w:rsidP="00EF5F47">
      <w:pPr>
        <w:pStyle w:val="box459190"/>
        <w:shd w:val="clear" w:color="auto" w:fill="FFFFFF"/>
        <w:spacing w:before="0" w:beforeAutospacing="0" w:after="48" w:afterAutospacing="0"/>
        <w:ind w:firstLine="408"/>
        <w:rPr>
          <w:color w:val="231F20"/>
        </w:rPr>
      </w:pPr>
      <w:r>
        <w:rPr>
          <w:color w:val="231F20"/>
        </w:rPr>
        <w:lastRenderedPageBreak/>
        <w:t>(1) Novčanom kaznom u iznosu od 5000,00 do 10.000,00 kuna kaznit će se za prekršaj školska ustanova: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ne donese odluke o odabiru udžbenika iz članka 10. stavaka 3. i 4. ovoga Zakona odnosno ako ih ne dostavi Ministarstvu u roku propisanom člankom 10. stavkom 6.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se u školi koriste drugi obrazovni materijali koji nisu utvrđeni odlukom i školskim kurikulumom (članak 16. stavci 6. i 7.)</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međupredmetnih tema (članak 16. stavak 12.).</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Za prekršaj iz stavka 1. ovoga članka kaznit će se i odgovorna osoba u školskoj ustanovi novčanom kaznom u iznosu od 2000,00 do 5000,00 kuna.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(3) Novčanom kaznom od 10.000,00 do 30.000,00 kuna kaznit će se donator i primatelj donacije koji postupe protivno odredbi članka 18. ovoga Zakona.</w:t>
      </w:r>
    </w:p>
    <w:p w:rsidR="00EF5F47" w:rsidRDefault="00EF5F47" w:rsidP="00EF5F47">
      <w:pPr>
        <w:pStyle w:val="box459190"/>
        <w:shd w:val="clear" w:color="auto" w:fill="FFFFFF"/>
        <w:spacing w:before="204" w:beforeAutospacing="0" w:after="72" w:afterAutospacing="0"/>
        <w:jc w:val="center"/>
        <w:rPr>
          <w:color w:val="231F20"/>
          <w:sz w:val="26"/>
          <w:szCs w:val="26"/>
        </w:rPr>
      </w:pPr>
      <w:r>
        <w:rPr>
          <w:color w:val="231F20"/>
          <w:sz w:val="26"/>
          <w:szCs w:val="26"/>
        </w:rPr>
        <w:t>V. PRIJELAZNE I ZAVRŠNE ODREDBE</w:t>
      </w:r>
    </w:p>
    <w:p w:rsidR="00EF5F47" w:rsidRDefault="00EF5F47" w:rsidP="00EF5F47">
      <w:pPr>
        <w:pStyle w:val="box459190"/>
        <w:shd w:val="clear" w:color="auto" w:fill="FFFFFF"/>
        <w:spacing w:before="34" w:beforeAutospacing="0" w:after="48" w:afterAutospacing="0"/>
        <w:jc w:val="center"/>
        <w:rPr>
          <w:color w:val="231F20"/>
        </w:rPr>
      </w:pPr>
      <w:r>
        <w:rPr>
          <w:color w:val="231F20"/>
        </w:rPr>
        <w:t>Članak 21.</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22.</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Pravilnik iz članka 3. stavka 6., članka 4. stavka 2., članka 7. stavka 5. i članka 16. stavka 13. ovoga Zakona ministar će donijeti u roku od 60 dana od dana stupanja na snagu ovoga Zakona.</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23.</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(1) Iznimno od članka 6. stavka 4. ovoga Zakona, rok za podnošenje prijave na javni poziv za školsku godinu 2019./2020. ne može biti kraći od 60 dana od dana objave poziva iz članka 6. stavka 1. ovoga Zakona.</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24.</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Stupanjem na snagu ovoga Zakona prestaje važiti Zakon o udžbenicima za osnovnu i srednju školu (»Narodne novine«, br. 27/10. i 55/11.).</w:t>
      </w:r>
    </w:p>
    <w:p w:rsidR="00EF5F47" w:rsidRDefault="00EF5F47" w:rsidP="00EF5F47">
      <w:pPr>
        <w:pStyle w:val="box459190"/>
        <w:shd w:val="clear" w:color="auto" w:fill="FFFFFF"/>
        <w:spacing w:before="103" w:beforeAutospacing="0" w:after="48" w:afterAutospacing="0"/>
        <w:jc w:val="center"/>
        <w:rPr>
          <w:color w:val="231F20"/>
        </w:rPr>
      </w:pPr>
      <w:r>
        <w:rPr>
          <w:color w:val="231F20"/>
        </w:rPr>
        <w:t>Članak 25.</w:t>
      </w:r>
    </w:p>
    <w:p w:rsidR="00EF5F47" w:rsidRDefault="00EF5F47" w:rsidP="00EF5F47">
      <w:pPr>
        <w:pStyle w:val="box459190"/>
        <w:shd w:val="clear" w:color="auto" w:fill="FFFFFF"/>
        <w:spacing w:before="0" w:beforeAutospacing="0" w:after="48" w:afterAutospacing="0"/>
        <w:ind w:firstLine="408"/>
        <w:rPr>
          <w:color w:val="231F20"/>
        </w:rPr>
      </w:pPr>
      <w:r>
        <w:rPr>
          <w:color w:val="231F20"/>
        </w:rPr>
        <w:t>Ovaj Zakon stupa na snagu osmoga dana od dana objave u »Narodnim novinama«.</w:t>
      </w:r>
    </w:p>
    <w:p w:rsidR="00EF5F47" w:rsidRDefault="00EF5F47" w:rsidP="00EF5F47">
      <w:pPr>
        <w:pStyle w:val="box459190"/>
        <w:shd w:val="clear" w:color="auto" w:fill="FFFFFF"/>
        <w:spacing w:before="0" w:beforeAutospacing="0" w:after="0" w:afterAutospacing="0"/>
        <w:ind w:left="408"/>
        <w:rPr>
          <w:color w:val="231F20"/>
        </w:rPr>
      </w:pPr>
      <w:r>
        <w:rPr>
          <w:color w:val="231F20"/>
        </w:rPr>
        <w:t>Klasa: 022-03/18-01/157</w:t>
      </w:r>
    </w:p>
    <w:p w:rsidR="00EF5F47" w:rsidRDefault="00EF5F47" w:rsidP="00EF5F47">
      <w:pPr>
        <w:pStyle w:val="box459190"/>
        <w:shd w:val="clear" w:color="auto" w:fill="FFFFFF"/>
        <w:spacing w:before="0" w:beforeAutospacing="0" w:after="0" w:afterAutospacing="0"/>
        <w:ind w:left="408"/>
        <w:rPr>
          <w:color w:val="231F20"/>
        </w:rPr>
      </w:pPr>
      <w:r>
        <w:rPr>
          <w:color w:val="231F20"/>
        </w:rPr>
        <w:t>Zagreb, 14. prosinca 2018.</w:t>
      </w:r>
    </w:p>
    <w:p w:rsidR="00EF5F47" w:rsidRDefault="00EF5F47" w:rsidP="00EF5F47">
      <w:pPr>
        <w:pStyle w:val="box459190"/>
        <w:shd w:val="clear" w:color="auto" w:fill="FFFFFF"/>
        <w:spacing w:before="103" w:beforeAutospacing="0" w:after="48" w:afterAutospacing="0"/>
        <w:jc w:val="center"/>
        <w:rPr>
          <w:color w:val="231F20"/>
        </w:rPr>
      </w:pPr>
      <w:r>
        <w:rPr>
          <w:color w:val="231F20"/>
        </w:rPr>
        <w:t>HRVATSKI SABOR</w:t>
      </w:r>
    </w:p>
    <w:p w:rsidR="00EF5F47" w:rsidRDefault="00EF5F47" w:rsidP="00EF5F47">
      <w:pPr>
        <w:pStyle w:val="box459190"/>
        <w:shd w:val="clear" w:color="auto" w:fill="FFFFFF"/>
        <w:spacing w:before="27" w:beforeAutospacing="0" w:after="48" w:afterAutospacing="0"/>
        <w:ind w:left="2712"/>
        <w:jc w:val="center"/>
        <w:rPr>
          <w:color w:val="231F20"/>
        </w:rPr>
      </w:pPr>
      <w:r>
        <w:rPr>
          <w:color w:val="231F20"/>
        </w:rPr>
        <w:lastRenderedPageBreak/>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rPr>
        <w:t>Gordan Jandroković, </w:t>
      </w:r>
      <w:r>
        <w:rPr>
          <w:color w:val="231F20"/>
        </w:rPr>
        <w:t>v. r.</w:t>
      </w:r>
    </w:p>
    <w:p w:rsidR="00400D84" w:rsidRDefault="00400D84">
      <w:bookmarkStart w:id="0" w:name="_GoBack"/>
      <w:bookmarkEnd w:id="0"/>
    </w:p>
    <w:sectPr w:rsidR="0040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40"/>
    <w:rsid w:val="00400D84"/>
    <w:rsid w:val="00EF5F47"/>
    <w:rsid w:val="00F05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DFC2-7AC7-42E3-B272-B51F97E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EF5F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F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3653</Words>
  <Characters>20827</Characters>
  <Application>Microsoft Office Word</Application>
  <DocSecurity>0</DocSecurity>
  <Lines>173</Lines>
  <Paragraphs>48</Paragraphs>
  <ScaleCrop>false</ScaleCrop>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SLACKO</dc:creator>
  <cp:keywords/>
  <dc:description/>
  <cp:lastModifiedBy>SLACKO</cp:lastModifiedBy>
  <cp:revision>2</cp:revision>
  <dcterms:created xsi:type="dcterms:W3CDTF">2019-03-28T05:02:00Z</dcterms:created>
  <dcterms:modified xsi:type="dcterms:W3CDTF">2019-03-28T05:03:00Z</dcterms:modified>
</cp:coreProperties>
</file>